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1.面试成绩：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4733925" cy="6545580"/>
            <wp:effectExtent l="0" t="0" r="571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54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2.体检人员名单：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综合管理岗（代码01）：申贵斌、高亮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会计1岗位（代码02）：路俊艳、张洋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会计2岗位（代码03）：李志红、牛丽娟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文秘1岗位（代码04）：曹翔翼、张杰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19"/>
          <w:szCs w:val="19"/>
        </w:rPr>
        <w:t>        文秘2岗位（代码05）：王柳静、闫晓茹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6A22"/>
    <w:rsid w:val="11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2021-01-30T10:10:00Z</dcterms:created>
  <dc:creator>ぺ灬cc果冻ル</dc:creator>
  <cp:lastModifiedBy>ぺ灬cc果冻ル</cp:lastModifiedBy>
  <dcterms:modified xsi:type="dcterms:W3CDTF">2021-01-30T10:10:57Z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