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B757F">
      <w:pPr>
        <w:pStyle w:val="2"/>
        <w:bidi w:val="0"/>
        <w:rPr>
          <w:rFonts w:hint="eastAsia"/>
        </w:rPr>
      </w:pPr>
      <w:bookmarkStart w:id="0" w:name="_GoBack"/>
      <w:bookmarkEnd w:id="0"/>
      <w:r>
        <w:rPr>
          <w:rFonts w:hint="eastAsia"/>
        </w:rPr>
        <w:t>招聘岗位一览表</w:t>
      </w:r>
    </w:p>
    <w:tbl>
      <w:tblPr>
        <w:tblStyle w:val="7"/>
        <w:tblW w:w="14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567"/>
        <w:gridCol w:w="1077"/>
        <w:gridCol w:w="1134"/>
        <w:gridCol w:w="567"/>
        <w:gridCol w:w="1304"/>
        <w:gridCol w:w="4932"/>
        <w:gridCol w:w="4932"/>
      </w:tblGrid>
      <w:tr w14:paraId="03279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567" w:type="dxa"/>
            <w:vMerge w:val="restart"/>
            <w:vAlign w:val="center"/>
          </w:tcPr>
          <w:p w14:paraId="7B4A71E9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eastAsia="黑体"/>
                <w:b/>
                <w:bCs/>
                <w:kern w:val="21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kern w:val="21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077" w:type="dxa"/>
            <w:vMerge w:val="restart"/>
            <w:vAlign w:val="center"/>
          </w:tcPr>
          <w:p w14:paraId="2082B499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eastAsia="黑体"/>
                <w:b/>
                <w:bCs/>
                <w:kern w:val="21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kern w:val="21"/>
                <w:sz w:val="21"/>
                <w:szCs w:val="21"/>
                <w:lang w:val="en-US" w:eastAsia="zh-CN"/>
              </w:rPr>
              <w:t>公司名称</w:t>
            </w:r>
          </w:p>
        </w:tc>
        <w:tc>
          <w:tcPr>
            <w:tcW w:w="1134" w:type="dxa"/>
            <w:vMerge w:val="restart"/>
            <w:vAlign w:val="center"/>
          </w:tcPr>
          <w:p w14:paraId="3E2A4C63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eastAsia="黑体"/>
                <w:b/>
                <w:bCs/>
                <w:kern w:val="21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kern w:val="21"/>
                <w:sz w:val="21"/>
                <w:szCs w:val="21"/>
                <w:lang w:val="en-US" w:eastAsia="zh-CN"/>
              </w:rPr>
              <w:t>岗位名称</w:t>
            </w:r>
          </w:p>
        </w:tc>
        <w:tc>
          <w:tcPr>
            <w:tcW w:w="567" w:type="dxa"/>
            <w:vMerge w:val="restart"/>
            <w:vAlign w:val="center"/>
          </w:tcPr>
          <w:p w14:paraId="5C4264A0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eastAsia="黑体"/>
                <w:b/>
                <w:bCs/>
                <w:kern w:val="21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kern w:val="21"/>
                <w:sz w:val="21"/>
                <w:szCs w:val="21"/>
                <w:lang w:val="en-US" w:eastAsia="zh-CN"/>
              </w:rPr>
              <w:t>人数</w:t>
            </w:r>
          </w:p>
        </w:tc>
        <w:tc>
          <w:tcPr>
            <w:tcW w:w="11168" w:type="dxa"/>
            <w:gridSpan w:val="3"/>
            <w:vAlign w:val="center"/>
          </w:tcPr>
          <w:p w14:paraId="2B5ECABF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b/>
                <w:bCs/>
                <w:kern w:val="21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kern w:val="21"/>
                <w:sz w:val="21"/>
                <w:szCs w:val="21"/>
                <w:lang w:val="en-US" w:eastAsia="zh-CN"/>
              </w:rPr>
              <w:t>任职资格及条件</w:t>
            </w:r>
          </w:p>
        </w:tc>
      </w:tr>
      <w:tr w14:paraId="5002C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567" w:type="dxa"/>
            <w:vMerge w:val="continue"/>
            <w:vAlign w:val="center"/>
          </w:tcPr>
          <w:p w14:paraId="0C44655D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eastAsia="黑体"/>
                <w:b/>
                <w:bCs/>
                <w:kern w:val="21"/>
                <w:sz w:val="21"/>
                <w:szCs w:val="21"/>
                <w:lang w:val="en-US" w:eastAsia="zh-CN"/>
              </w:rPr>
            </w:pPr>
          </w:p>
        </w:tc>
        <w:tc>
          <w:tcPr>
            <w:tcW w:w="1077" w:type="dxa"/>
            <w:vMerge w:val="continue"/>
            <w:vAlign w:val="center"/>
          </w:tcPr>
          <w:p w14:paraId="14E3AC2B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b/>
                <w:bCs/>
                <w:kern w:val="21"/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C9A5826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b/>
                <w:bCs/>
                <w:kern w:val="21"/>
                <w:sz w:val="21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11661E9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b/>
                <w:bCs/>
                <w:kern w:val="21"/>
                <w:sz w:val="21"/>
                <w:szCs w:val="21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7E665A97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b/>
                <w:bCs/>
                <w:color w:val="000000" w:themeColor="text1"/>
                <w:kern w:val="2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kern w:val="21"/>
                <w:sz w:val="21"/>
                <w:szCs w:val="21"/>
                <w:lang w:val="en-US" w:eastAsia="zh-CN"/>
              </w:rPr>
              <w:t>专业要求</w:t>
            </w:r>
          </w:p>
        </w:tc>
        <w:tc>
          <w:tcPr>
            <w:tcW w:w="4932" w:type="dxa"/>
            <w:shd w:val="clear" w:color="auto" w:fill="auto"/>
            <w:vAlign w:val="center"/>
          </w:tcPr>
          <w:p w14:paraId="789707AE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b/>
                <w:bCs/>
                <w:color w:val="000000" w:themeColor="text1"/>
                <w:kern w:val="2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kern w:val="21"/>
                <w:sz w:val="21"/>
                <w:szCs w:val="21"/>
                <w:lang w:val="en-US" w:eastAsia="zh-CN"/>
              </w:rPr>
              <w:t>岗位职责</w:t>
            </w:r>
          </w:p>
        </w:tc>
        <w:tc>
          <w:tcPr>
            <w:tcW w:w="4932" w:type="dxa"/>
            <w:shd w:val="clear" w:color="auto" w:fill="auto"/>
            <w:vAlign w:val="center"/>
          </w:tcPr>
          <w:p w14:paraId="6F198D84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b/>
                <w:bCs/>
                <w:color w:val="000000" w:themeColor="text1"/>
                <w:kern w:val="2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kern w:val="21"/>
                <w:sz w:val="21"/>
                <w:szCs w:val="21"/>
                <w:lang w:val="en-US" w:eastAsia="zh-CN"/>
              </w:rPr>
              <w:t>任职及知识技能要求</w:t>
            </w:r>
          </w:p>
        </w:tc>
      </w:tr>
      <w:tr w14:paraId="1DDD6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3" w:hRule="atLeast"/>
          <w:jc w:val="center"/>
        </w:trPr>
        <w:tc>
          <w:tcPr>
            <w:tcW w:w="567" w:type="dxa"/>
            <w:vAlign w:val="center"/>
          </w:tcPr>
          <w:p w14:paraId="73309130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1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77" w:type="dxa"/>
            <w:vAlign w:val="center"/>
          </w:tcPr>
          <w:p w14:paraId="7A2C9EE6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许昌市某国有企业</w:t>
            </w:r>
          </w:p>
        </w:tc>
        <w:tc>
          <w:tcPr>
            <w:tcW w:w="1134" w:type="dxa"/>
            <w:vAlign w:val="center"/>
          </w:tcPr>
          <w:p w14:paraId="2AFD9004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1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电力交易员</w:t>
            </w:r>
          </w:p>
        </w:tc>
        <w:tc>
          <w:tcPr>
            <w:tcW w:w="567" w:type="dxa"/>
            <w:vAlign w:val="center"/>
          </w:tcPr>
          <w:p w14:paraId="52A91286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1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04" w:type="dxa"/>
            <w:vAlign w:val="center"/>
          </w:tcPr>
          <w:p w14:paraId="2280F698"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1"/>
                <w:sz w:val="20"/>
                <w:szCs w:val="20"/>
                <w:lang w:val="en-US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4932" w:type="dxa"/>
            <w:vAlign w:val="center"/>
          </w:tcPr>
          <w:p w14:paraId="6E4B40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1.负责河南省电力交易市场政策、规则及调度运行流程的跟踪研究，及时解读政策动向，形成分析报告，为公司交易策略制定提供决策支持。</w:t>
            </w:r>
          </w:p>
          <w:p w14:paraId="13FDCF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2.独立负责公司中长期电力交易（包括年度、多月、月度交易）及现货市场（日前、日内）的交易申报、策略执行与实时监控，优化交易曲线，降低综合购电成本。</w:t>
            </w:r>
          </w:p>
          <w:p w14:paraId="3961C2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3.负责电力交易全流程的风险管理，包括但不限于市场风险、信用风险与偏差考核风险，建立风险评估模型，定期提交风险控制报告。</w:t>
            </w:r>
          </w:p>
          <w:p w14:paraId="1B148A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4.主导或参与公司新能源产业投资相关的电力市场分析工作，包括：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对拟投资或合作的风电、光伏等新能源项目进行电力市场消纳分析与电价测算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评估项目参与市场化交易的电价风险与收益，构建项目全生命周期电力交易模拟模型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为新能源项目的投资决策、购售电协议签订提供专业的电力交易视角分析与建议。</w:t>
            </w:r>
          </w:p>
          <w:p w14:paraId="3F0F3D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.负责交易数据的统计、分析及复盘，建立交易档案库，定期输出交易总结与策略优化报告，持续提升交易绩效。</w:t>
            </w:r>
          </w:p>
          <w:p w14:paraId="081360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.完成电费核对、结算支持及与交易相关的各类数据报送工作，确保交易与结算的准确性与合规性。</w:t>
            </w:r>
          </w:p>
          <w:p w14:paraId="039369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.协助部门开展面向大客户的综合能源解决方案设计，提供电力交易相关的咨询服务与培训支持。</w:t>
            </w:r>
          </w:p>
          <w:p w14:paraId="2451F8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Cs/>
                <w:kern w:val="21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.参与公司零售电力用户套餐制定，为销售团队提供专业技术支持，解答用户关于交易形势、结算规则等相关疑问，协助完成用户结算结果出具工作。</w:t>
            </w:r>
          </w:p>
        </w:tc>
        <w:tc>
          <w:tcPr>
            <w:tcW w:w="4932" w:type="dxa"/>
            <w:vAlign w:val="center"/>
          </w:tcPr>
          <w:p w14:paraId="417DCA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学历要求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本科及以上学历</w:t>
            </w:r>
          </w:p>
          <w:p w14:paraId="5469A8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年龄要求：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周岁以下</w:t>
            </w:r>
          </w:p>
          <w:p w14:paraId="53BCC0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工作经验要求：具备3年以上电力市场化交易实操经验，熟悉河南省电力交易规则、调度运行及结算流程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掌握电力市场、电力系统分析及电价理论基础。</w:t>
            </w:r>
          </w:p>
          <w:p w14:paraId="7725EA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知识技能要求：</w:t>
            </w:r>
          </w:p>
          <w:p w14:paraId="42071B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（1）交易执行与分析能力：能够独立完成中长期及现货市场交易申报、监控与复盘分析，具备交易策略设计与优化的能力。</w:t>
            </w:r>
          </w:p>
          <w:p w14:paraId="1C5C49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市场与政策分析能力：能够跟踪解读电力市场政策动向，形成分析报告，为决策提供支持。</w:t>
            </w:r>
          </w:p>
          <w:p w14:paraId="5D4563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风险控制能力：熟悉偏差考核与电费结算机制，能够有效识别和管理市场风险、信用风险。</w:t>
            </w:r>
          </w:p>
          <w:p w14:paraId="3FA1B0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数据分析能力：具备较强的数据处理与分析能力，能使用至少一种数据分析工具（如Excel高级功能、Python、SQL等）进行交易辅助测算与报告撰写。</w:t>
            </w:r>
          </w:p>
          <w:p w14:paraId="7C0F79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（5）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逻辑清晰，具备在信息不确定环境下做出及时判断的能力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责任心强，具备良好的合规意识与风险防控思维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能适应市场化交易快节奏、高强度的工作环境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具备优秀的团队协作精神与跨部门沟通能力。</w:t>
            </w:r>
          </w:p>
          <w:p w14:paraId="43DEDC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其他条件：</w:t>
            </w:r>
          </w:p>
          <w:p w14:paraId="3CCAC0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拥有新能源项目市场化交易分析、电价测算或投资评估相关经验者优先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  <w:p w14:paraId="20413C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kern w:val="21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持有电力交易相关培训证书等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资格证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者优先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</w:tr>
    </w:tbl>
    <w:p w14:paraId="4C1F382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center"/>
        <w:rPr>
          <w:sz w:val="2"/>
          <w:szCs w:val="2"/>
        </w:rPr>
      </w:pPr>
    </w:p>
    <w:sectPr>
      <w:pgSz w:w="16838" w:h="11906" w:orient="landscape"/>
      <w:pgMar w:top="1077" w:right="1474" w:bottom="96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SOReumeCategoryDocument" w:val="0"/>
  </w:docVars>
  <w:rsids>
    <w:rsidRoot w:val="7B1A73EF"/>
    <w:rsid w:val="007452EE"/>
    <w:rsid w:val="080C01C4"/>
    <w:rsid w:val="09C676BC"/>
    <w:rsid w:val="0FAA43D4"/>
    <w:rsid w:val="100022BA"/>
    <w:rsid w:val="103C2AD4"/>
    <w:rsid w:val="1228698E"/>
    <w:rsid w:val="130E0E01"/>
    <w:rsid w:val="13856AE3"/>
    <w:rsid w:val="15787BD8"/>
    <w:rsid w:val="1591708A"/>
    <w:rsid w:val="195A46B8"/>
    <w:rsid w:val="19F85670"/>
    <w:rsid w:val="1A8C1343"/>
    <w:rsid w:val="1AD15653"/>
    <w:rsid w:val="1B946FF3"/>
    <w:rsid w:val="263A1546"/>
    <w:rsid w:val="282D68F5"/>
    <w:rsid w:val="2A117AEC"/>
    <w:rsid w:val="2A3D0E5E"/>
    <w:rsid w:val="2B6B4783"/>
    <w:rsid w:val="2EC25944"/>
    <w:rsid w:val="2EF56ED4"/>
    <w:rsid w:val="36F7614C"/>
    <w:rsid w:val="394043CD"/>
    <w:rsid w:val="4082249B"/>
    <w:rsid w:val="416B0372"/>
    <w:rsid w:val="42835DDC"/>
    <w:rsid w:val="450E5C5B"/>
    <w:rsid w:val="466E4440"/>
    <w:rsid w:val="47E10C42"/>
    <w:rsid w:val="484B2CEC"/>
    <w:rsid w:val="489259D4"/>
    <w:rsid w:val="490B51E6"/>
    <w:rsid w:val="4AE82425"/>
    <w:rsid w:val="4CA54822"/>
    <w:rsid w:val="4EFE6B56"/>
    <w:rsid w:val="4F6665FD"/>
    <w:rsid w:val="51D528E1"/>
    <w:rsid w:val="57464B05"/>
    <w:rsid w:val="578306C9"/>
    <w:rsid w:val="5BD82630"/>
    <w:rsid w:val="606D5EAE"/>
    <w:rsid w:val="61474825"/>
    <w:rsid w:val="641649C3"/>
    <w:rsid w:val="65F862E4"/>
    <w:rsid w:val="66863D24"/>
    <w:rsid w:val="6A971908"/>
    <w:rsid w:val="6AA26CDF"/>
    <w:rsid w:val="723A3241"/>
    <w:rsid w:val="73106CA2"/>
    <w:rsid w:val="773C7E96"/>
    <w:rsid w:val="783613FC"/>
    <w:rsid w:val="78CF04BF"/>
    <w:rsid w:val="7B1A73EF"/>
    <w:rsid w:val="7C485985"/>
    <w:rsid w:val="7C6FB21C"/>
    <w:rsid w:val="F599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spacing w:line="600" w:lineRule="exact"/>
      <w:ind w:left="0" w:leftChars="0" w:firstLine="640" w:firstLineChars="200"/>
      <w:jc w:val="both"/>
      <w:textAlignment w:val="center"/>
    </w:pPr>
    <w:rPr>
      <w:rFonts w:ascii="Times New Roman" w:hAnsi="Times New Roman" w:eastAsia="仿宋_GB2312" w:cs="仿宋_GB2312"/>
      <w:color w:val="000000" w:themeColor="text1"/>
      <w:kern w:val="3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wordWrap w:val="0"/>
      <w:spacing w:beforeLines="0" w:beforeAutospacing="0" w:afterLines="0" w:afterAutospacing="0" w:line="600" w:lineRule="exact"/>
      <w:ind w:left="0" w:leftChars="0" w:firstLine="0" w:firstLineChars="0"/>
      <w:jc w:val="center"/>
      <w:outlineLvl w:val="0"/>
    </w:pPr>
    <w:rPr>
      <w:rFonts w:eastAsia="方正小标宋简体" w:cs="方正小标宋简体"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outlineLvl w:val="1"/>
    </w:pPr>
    <w:rPr>
      <w:rFonts w:ascii="Times New Roman" w:hAnsi="Times New Roman" w:eastAsia="黑体" w:cs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outlineLvl w:val="2"/>
    </w:pPr>
    <w:rPr>
      <w:rFonts w:eastAsia="楷体_GB2312" w:cs="楷体_GB2312"/>
    </w:rPr>
  </w:style>
  <w:style w:type="paragraph" w:styleId="5">
    <w:name w:val="heading 4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0" w:firstLineChars="0"/>
      <w:jc w:val="center"/>
      <w:outlineLvl w:val="3"/>
    </w:pPr>
    <w:rPr>
      <w:rFonts w:ascii="Times New Roman" w:hAnsi="Times New Roman" w:eastAsia="黑体" w:cs="黑体"/>
      <w:kern w:val="21"/>
      <w:sz w:val="21"/>
      <w:szCs w:val="21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99"/>
    <w:pPr>
      <w:widowControl/>
      <w:spacing w:line="360" w:lineRule="auto"/>
      <w:ind w:firstLine="420" w:firstLineChars="200"/>
    </w:pPr>
    <w:rPr>
      <w:rFonts w:ascii="仿宋" w:hAnsi="仿宋" w:eastAsia="仿宋_GB2312" w:cs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1066</Words>
  <Characters>1091</Characters>
  <Lines>0</Lines>
  <Paragraphs>0</Paragraphs>
  <TotalTime>101</TotalTime>
  <ScaleCrop>false</ScaleCrop>
  <LinksUpToDate>false</LinksUpToDate>
  <CharactersWithSpaces>1091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2025-07-14T17:35:00Z</dcterms:created>
  <dc:creator>　</dc:creator>
  <cp:lastModifiedBy>WPS_1602233331</cp:lastModifiedBy>
  <cp:lastPrinted>2026-01-27T07:42:00Z</cp:lastPrinted>
  <dcterms:modified xsi:type="dcterms:W3CDTF">2026-02-12T09:09:55Z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3DACC7D9BBEB452285A28E2063386E54_13</vt:lpwstr>
  </property>
  <property fmtid="{D5CDD505-2E9C-101B-9397-08002B2CF9AE}" pid="4" name="KSOTemplateDocerSaveRecord">
    <vt:lpwstr>eyJoZGlkIjoiNDUwMTFkMDI3ZjBmZjczM2Q3M2EwOGI5M2VjYzUzMDkiLCJ1c2VySWQiOiIxMTI5MDI2MjIzIn0=</vt:lpwstr>
  </property>
</Properties>
</file>