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9DCB9">
      <w:pPr>
        <w:pStyle w:val="2"/>
        <w:shd w:val="clear" w:color="auto" w:fill="FFFFFF"/>
        <w:snapToGrid w:val="0"/>
        <w:ind w:firstLine="640" w:firstLineChars="200"/>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 xml:space="preserve">附件1 </w:t>
      </w:r>
    </w:p>
    <w:p w14:paraId="4449F3FB">
      <w:pPr>
        <w:pStyle w:val="2"/>
        <w:shd w:val="clear" w:color="auto" w:fill="FFFFFF"/>
        <w:snapToGrid w:val="0"/>
        <w:spacing w:before="0" w:beforeAutospacing="0" w:after="0" w:afterAutospacing="0"/>
        <w:jc w:val="center"/>
        <w:rPr>
          <w:rFonts w:hint="eastAsia" w:ascii="方正小标宋简体" w:hAnsi="方正小标宋简体" w:eastAsia="方正小标宋简体" w:cs="方正小标宋简体"/>
          <w:b w:val="0"/>
          <w:bCs w:val="0"/>
          <w:sz w:val="36"/>
          <w:szCs w:val="36"/>
        </w:rPr>
      </w:pPr>
      <w:bookmarkStart w:id="0" w:name="_GoBack"/>
      <w:r>
        <w:rPr>
          <w:rFonts w:hint="eastAsia" w:ascii="方正小标宋简体" w:hAnsi="方正小标宋简体" w:eastAsia="方正小标宋简体" w:cs="方正小标宋简体"/>
          <w:b w:val="0"/>
          <w:bCs w:val="0"/>
          <w:sz w:val="36"/>
          <w:szCs w:val="36"/>
          <w:lang w:eastAsia="zh-CN"/>
        </w:rPr>
        <w:t>中国烟草总公司</w:t>
      </w:r>
      <w:r>
        <w:rPr>
          <w:rFonts w:hint="eastAsia" w:ascii="方正小标宋简体" w:hAnsi="方正小标宋简体" w:eastAsia="方正小标宋简体" w:cs="方正小标宋简体"/>
          <w:b w:val="0"/>
          <w:bCs w:val="0"/>
          <w:sz w:val="36"/>
          <w:szCs w:val="36"/>
        </w:rPr>
        <w:t>郑州烟草研究院接收免试攻读硕士</w:t>
      </w:r>
    </w:p>
    <w:p w14:paraId="6553D5C0">
      <w:pPr>
        <w:pStyle w:val="2"/>
        <w:shd w:val="clear" w:color="auto" w:fill="FFFFFF"/>
        <w:snapToGrid w:val="0"/>
        <w:spacing w:before="0" w:beforeAutospacing="0" w:after="0" w:afterAutospacing="0"/>
        <w:jc w:val="center"/>
        <w:rPr>
          <w:rFonts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学位研究生材料审核评分细则</w:t>
      </w:r>
      <w:bookmarkEnd w:id="0"/>
    </w:p>
    <w:p w14:paraId="1F7DE158">
      <w:pPr>
        <w:pStyle w:val="2"/>
        <w:shd w:val="clear" w:color="auto" w:fill="FFFFFF"/>
        <w:snapToGrid w:val="0"/>
        <w:spacing w:before="0" w:beforeAutospacing="0" w:after="0" w:afterAutospacing="0"/>
        <w:jc w:val="center"/>
        <w:rPr>
          <w:rFonts w:ascii="方正小标宋简体" w:hAnsi="方正小标宋简体" w:eastAsia="方正小标宋简体" w:cs="方正小标宋简体"/>
          <w:b w:val="0"/>
          <w:bCs w:val="0"/>
          <w:sz w:val="28"/>
          <w:szCs w:val="28"/>
        </w:rPr>
      </w:pPr>
    </w:p>
    <w:p w14:paraId="2D25F1DE">
      <w:pPr>
        <w:pStyle w:val="2"/>
        <w:shd w:val="clear" w:color="auto" w:fill="FFFFFF"/>
        <w:snapToGrid w:val="0"/>
        <w:spacing w:before="0" w:beforeAutospacing="0" w:after="0" w:afterAutospacing="0" w:line="360" w:lineRule="auto"/>
        <w:ind w:firstLine="643" w:firstLineChars="200"/>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表1 本科学业成绩评分细则表（70分）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3738"/>
        <w:gridCol w:w="2566"/>
      </w:tblGrid>
      <w:tr w14:paraId="2B11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6E635E50">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档次</w:t>
            </w:r>
          </w:p>
        </w:tc>
        <w:tc>
          <w:tcPr>
            <w:tcW w:w="3816" w:type="dxa"/>
          </w:tcPr>
          <w:p w14:paraId="098D2098">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专业排名</w:t>
            </w:r>
          </w:p>
        </w:tc>
        <w:tc>
          <w:tcPr>
            <w:tcW w:w="2616" w:type="dxa"/>
          </w:tcPr>
          <w:p w14:paraId="4384033B">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分值区间</w:t>
            </w:r>
          </w:p>
        </w:tc>
      </w:tr>
      <w:tr w14:paraId="7E5C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2003EE76">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A档</w:t>
            </w:r>
          </w:p>
        </w:tc>
        <w:tc>
          <w:tcPr>
            <w:tcW w:w="3816" w:type="dxa"/>
          </w:tcPr>
          <w:p w14:paraId="0E85058B">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前5%（含）</w:t>
            </w:r>
          </w:p>
        </w:tc>
        <w:tc>
          <w:tcPr>
            <w:tcW w:w="2616" w:type="dxa"/>
          </w:tcPr>
          <w:p w14:paraId="07396ADC">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6</w:t>
            </w:r>
            <w:r>
              <w:rPr>
                <w:rFonts w:hint="eastAsia" w:ascii="仿宋_GB2312" w:hAnsi="Times New Roman" w:eastAsia="仿宋_GB2312" w:cs="Times New Roman"/>
                <w:b w:val="0"/>
                <w:bCs w:val="0"/>
                <w:sz w:val="28"/>
                <w:szCs w:val="28"/>
              </w:rPr>
              <w:t>5</w:t>
            </w:r>
            <w:r>
              <w:rPr>
                <w:rFonts w:ascii="仿宋_GB2312" w:hAnsi="Times New Roman" w:eastAsia="仿宋_GB2312" w:cs="Times New Roman"/>
                <w:b w:val="0"/>
                <w:bCs w:val="0"/>
                <w:sz w:val="28"/>
                <w:szCs w:val="28"/>
              </w:rPr>
              <w:t>-70分</w:t>
            </w:r>
          </w:p>
        </w:tc>
      </w:tr>
      <w:tr w14:paraId="068B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54252A1A">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B档</w:t>
            </w:r>
          </w:p>
        </w:tc>
        <w:tc>
          <w:tcPr>
            <w:tcW w:w="3816" w:type="dxa"/>
          </w:tcPr>
          <w:p w14:paraId="01ADF850">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前5%-15%（含）</w:t>
            </w:r>
          </w:p>
        </w:tc>
        <w:tc>
          <w:tcPr>
            <w:tcW w:w="2616" w:type="dxa"/>
          </w:tcPr>
          <w:p w14:paraId="329E7B7D">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hint="eastAsia" w:ascii="仿宋_GB2312" w:hAnsi="Times New Roman" w:eastAsia="仿宋_GB2312" w:cs="Times New Roman"/>
                <w:b w:val="0"/>
                <w:bCs w:val="0"/>
                <w:sz w:val="28"/>
                <w:szCs w:val="28"/>
              </w:rPr>
              <w:t>59</w:t>
            </w:r>
            <w:r>
              <w:rPr>
                <w:rFonts w:ascii="仿宋_GB2312" w:hAnsi="Times New Roman" w:eastAsia="仿宋_GB2312" w:cs="Times New Roman"/>
                <w:b w:val="0"/>
                <w:bCs w:val="0"/>
                <w:sz w:val="28"/>
                <w:szCs w:val="28"/>
              </w:rPr>
              <w:t>-6</w:t>
            </w:r>
            <w:r>
              <w:rPr>
                <w:rFonts w:hint="eastAsia" w:ascii="仿宋_GB2312" w:hAnsi="Times New Roman" w:eastAsia="仿宋_GB2312" w:cs="Times New Roman"/>
                <w:b w:val="0"/>
                <w:bCs w:val="0"/>
                <w:sz w:val="28"/>
                <w:szCs w:val="28"/>
              </w:rPr>
              <w:t>4</w:t>
            </w:r>
            <w:r>
              <w:rPr>
                <w:rFonts w:ascii="仿宋_GB2312" w:hAnsi="Times New Roman" w:eastAsia="仿宋_GB2312" w:cs="Times New Roman"/>
                <w:b w:val="0"/>
                <w:bCs w:val="0"/>
                <w:sz w:val="28"/>
                <w:szCs w:val="28"/>
              </w:rPr>
              <w:t>分</w:t>
            </w:r>
          </w:p>
        </w:tc>
      </w:tr>
      <w:tr w14:paraId="04D5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09D8D679">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C档</w:t>
            </w:r>
          </w:p>
        </w:tc>
        <w:tc>
          <w:tcPr>
            <w:tcW w:w="3816" w:type="dxa"/>
          </w:tcPr>
          <w:p w14:paraId="0F7BF7C1">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前15%-30%（含）</w:t>
            </w:r>
          </w:p>
        </w:tc>
        <w:tc>
          <w:tcPr>
            <w:tcW w:w="2616" w:type="dxa"/>
          </w:tcPr>
          <w:p w14:paraId="155926AB">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hint="eastAsia" w:ascii="仿宋_GB2312" w:hAnsi="Times New Roman" w:eastAsia="仿宋_GB2312" w:cs="Times New Roman"/>
                <w:b w:val="0"/>
                <w:bCs w:val="0"/>
                <w:sz w:val="28"/>
                <w:szCs w:val="28"/>
              </w:rPr>
              <w:t>53</w:t>
            </w:r>
            <w:r>
              <w:rPr>
                <w:rFonts w:ascii="仿宋_GB2312" w:hAnsi="Times New Roman" w:eastAsia="仿宋_GB2312" w:cs="Times New Roman"/>
                <w:b w:val="0"/>
                <w:bCs w:val="0"/>
                <w:sz w:val="28"/>
                <w:szCs w:val="28"/>
              </w:rPr>
              <w:t>-5</w:t>
            </w:r>
            <w:r>
              <w:rPr>
                <w:rFonts w:hint="eastAsia" w:ascii="仿宋_GB2312" w:hAnsi="Times New Roman" w:eastAsia="仿宋_GB2312" w:cs="Times New Roman"/>
                <w:b w:val="0"/>
                <w:bCs w:val="0"/>
                <w:sz w:val="28"/>
                <w:szCs w:val="28"/>
              </w:rPr>
              <w:t>8</w:t>
            </w:r>
            <w:r>
              <w:rPr>
                <w:rFonts w:ascii="仿宋_GB2312" w:hAnsi="Times New Roman" w:eastAsia="仿宋_GB2312" w:cs="Times New Roman"/>
                <w:b w:val="0"/>
                <w:bCs w:val="0"/>
                <w:sz w:val="28"/>
                <w:szCs w:val="28"/>
              </w:rPr>
              <w:t>分</w:t>
            </w:r>
          </w:p>
        </w:tc>
      </w:tr>
      <w:tr w14:paraId="2C0B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661C1DD5">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D档</w:t>
            </w:r>
          </w:p>
        </w:tc>
        <w:tc>
          <w:tcPr>
            <w:tcW w:w="3816" w:type="dxa"/>
          </w:tcPr>
          <w:p w14:paraId="7669C9F7">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前30%-50%（含）</w:t>
            </w:r>
          </w:p>
        </w:tc>
        <w:tc>
          <w:tcPr>
            <w:tcW w:w="2616" w:type="dxa"/>
          </w:tcPr>
          <w:p w14:paraId="6AE205BF">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4</w:t>
            </w:r>
            <w:r>
              <w:rPr>
                <w:rFonts w:hint="eastAsia" w:ascii="仿宋_GB2312" w:hAnsi="Times New Roman" w:eastAsia="仿宋_GB2312" w:cs="Times New Roman"/>
                <w:b w:val="0"/>
                <w:bCs w:val="0"/>
                <w:sz w:val="28"/>
                <w:szCs w:val="28"/>
              </w:rPr>
              <w:t>7</w:t>
            </w:r>
            <w:r>
              <w:rPr>
                <w:rFonts w:ascii="仿宋_GB2312" w:hAnsi="Times New Roman" w:eastAsia="仿宋_GB2312" w:cs="Times New Roman"/>
                <w:b w:val="0"/>
                <w:bCs w:val="0"/>
                <w:sz w:val="28"/>
                <w:szCs w:val="28"/>
              </w:rPr>
              <w:t>-</w:t>
            </w:r>
            <w:r>
              <w:rPr>
                <w:rFonts w:hint="eastAsia" w:ascii="仿宋_GB2312" w:hAnsi="Times New Roman" w:eastAsia="仿宋_GB2312" w:cs="Times New Roman"/>
                <w:b w:val="0"/>
                <w:bCs w:val="0"/>
                <w:sz w:val="28"/>
                <w:szCs w:val="28"/>
              </w:rPr>
              <w:t>52</w:t>
            </w:r>
            <w:r>
              <w:rPr>
                <w:rFonts w:ascii="仿宋_GB2312" w:hAnsi="Times New Roman" w:eastAsia="仿宋_GB2312" w:cs="Times New Roman"/>
                <w:b w:val="0"/>
                <w:bCs w:val="0"/>
                <w:sz w:val="28"/>
                <w:szCs w:val="28"/>
              </w:rPr>
              <w:t>分</w:t>
            </w:r>
          </w:p>
        </w:tc>
      </w:tr>
      <w:tr w14:paraId="412F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71" w:type="dxa"/>
          </w:tcPr>
          <w:p w14:paraId="2B390C54">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E档</w:t>
            </w:r>
          </w:p>
        </w:tc>
        <w:tc>
          <w:tcPr>
            <w:tcW w:w="3816" w:type="dxa"/>
          </w:tcPr>
          <w:p w14:paraId="3E96F0A8">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50%以后</w:t>
            </w:r>
          </w:p>
        </w:tc>
        <w:tc>
          <w:tcPr>
            <w:tcW w:w="2616" w:type="dxa"/>
          </w:tcPr>
          <w:p w14:paraId="3C761794">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0-4</w:t>
            </w:r>
            <w:r>
              <w:rPr>
                <w:rFonts w:hint="eastAsia" w:ascii="仿宋_GB2312" w:hAnsi="Times New Roman" w:eastAsia="仿宋_GB2312" w:cs="Times New Roman"/>
                <w:b w:val="0"/>
                <w:bCs w:val="0"/>
                <w:sz w:val="28"/>
                <w:szCs w:val="28"/>
              </w:rPr>
              <w:t>7</w:t>
            </w:r>
            <w:r>
              <w:rPr>
                <w:rFonts w:ascii="仿宋_GB2312" w:hAnsi="Times New Roman" w:eastAsia="仿宋_GB2312" w:cs="Times New Roman"/>
                <w:b w:val="0"/>
                <w:bCs w:val="0"/>
                <w:sz w:val="28"/>
                <w:szCs w:val="28"/>
              </w:rPr>
              <w:t>分</w:t>
            </w:r>
          </w:p>
        </w:tc>
      </w:tr>
    </w:tbl>
    <w:p w14:paraId="13A9B0F9">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rPr>
      </w:pPr>
      <w:r>
        <w:rPr>
          <w:rFonts w:hint="eastAsia" w:ascii="仿宋_GB2312" w:hAnsi="Times New Roman" w:eastAsia="仿宋_GB2312" w:cs="Times New Roman"/>
          <w:b w:val="0"/>
          <w:bCs w:val="0"/>
          <w:sz w:val="32"/>
          <w:szCs w:val="32"/>
        </w:rPr>
        <w:t>说明：主要考核考生在本科期间的学业成绩及在本专业的排名，以教务部门出具的加盖公章的证明为准。</w:t>
      </w:r>
    </w:p>
    <w:p w14:paraId="17EDAE7F">
      <w:pPr>
        <w:pStyle w:val="2"/>
        <w:shd w:val="clear" w:color="auto" w:fill="FFFFFF"/>
        <w:snapToGrid w:val="0"/>
        <w:spacing w:before="0" w:beforeAutospacing="0" w:after="0" w:afterAutospacing="0"/>
        <w:rPr>
          <w:rFonts w:ascii="仿宋_GB2312" w:hAnsi="Times New Roman" w:eastAsia="仿宋_GB2312" w:cs="Times New Roman"/>
          <w:b w:val="0"/>
          <w:bCs w:val="0"/>
          <w:sz w:val="32"/>
          <w:szCs w:val="32"/>
        </w:rPr>
      </w:pPr>
    </w:p>
    <w:p w14:paraId="476F13B9">
      <w:pPr>
        <w:pStyle w:val="2"/>
        <w:shd w:val="clear" w:color="auto" w:fill="FFFFFF"/>
        <w:snapToGrid w:val="0"/>
        <w:spacing w:before="0" w:beforeAutospacing="0" w:after="0" w:afterAutospacing="0" w:line="360" w:lineRule="auto"/>
        <w:ind w:firstLine="643" w:firstLineChars="200"/>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表2 </w:t>
      </w:r>
      <w:r>
        <w:rPr>
          <w:rFonts w:ascii="仿宋_GB2312" w:hAnsi="Times New Roman" w:eastAsia="仿宋_GB2312" w:cs="Times New Roman"/>
          <w:sz w:val="32"/>
          <w:szCs w:val="32"/>
        </w:rPr>
        <w:t>科研能力与创新潜质</w:t>
      </w:r>
      <w:r>
        <w:rPr>
          <w:rFonts w:hint="eastAsia" w:ascii="仿宋_GB2312" w:hAnsi="Times New Roman" w:eastAsia="仿宋_GB2312" w:cs="Times New Roman"/>
          <w:sz w:val="32"/>
          <w:szCs w:val="32"/>
        </w:rPr>
        <w:t>评分细则表</w:t>
      </w:r>
      <w:r>
        <w:rPr>
          <w:rFonts w:ascii="仿宋_GB2312" w:hAnsi="Times New Roman" w:eastAsia="仿宋_GB2312" w:cs="Times New Roman"/>
          <w:sz w:val="32"/>
          <w:szCs w:val="32"/>
        </w:rPr>
        <w:t>（15分）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5810"/>
        <w:gridCol w:w="1562"/>
      </w:tblGrid>
      <w:tr w14:paraId="39CE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167" w:type="dxa"/>
          </w:tcPr>
          <w:p w14:paraId="4F730C08">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档次</w:t>
            </w:r>
          </w:p>
        </w:tc>
        <w:tc>
          <w:tcPr>
            <w:tcW w:w="5935" w:type="dxa"/>
          </w:tcPr>
          <w:p w14:paraId="6E442D7E">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科研成果或科研经历情况</w:t>
            </w:r>
          </w:p>
        </w:tc>
        <w:tc>
          <w:tcPr>
            <w:tcW w:w="1579" w:type="dxa"/>
          </w:tcPr>
          <w:p w14:paraId="78C23D69">
            <w:pPr>
              <w:pStyle w:val="2"/>
              <w:widowControl w:val="0"/>
              <w:snapToGrid w:val="0"/>
              <w:spacing w:before="0" w:beforeAutospacing="0" w:after="0" w:afterAutospacing="0"/>
              <w:jc w:val="center"/>
              <w:outlineLvl w:val="0"/>
              <w:rPr>
                <w:rFonts w:ascii="仿宋_GB2312" w:hAnsi="Times New Roman" w:eastAsia="仿宋_GB2312" w:cs="Times New Roman"/>
                <w:sz w:val="28"/>
                <w:szCs w:val="28"/>
              </w:rPr>
            </w:pPr>
            <w:r>
              <w:rPr>
                <w:rFonts w:hint="eastAsia" w:ascii="仿宋_GB2312" w:hAnsi="Times New Roman" w:eastAsia="仿宋_GB2312" w:cs="Times New Roman"/>
                <w:sz w:val="28"/>
                <w:szCs w:val="28"/>
              </w:rPr>
              <w:t>分值区间</w:t>
            </w:r>
          </w:p>
        </w:tc>
      </w:tr>
      <w:tr w14:paraId="0576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3B39BCDF">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A档</w:t>
            </w:r>
          </w:p>
        </w:tc>
        <w:tc>
          <w:tcPr>
            <w:tcW w:w="5935" w:type="dxa"/>
            <w:shd w:val="clear" w:color="auto" w:fill="auto"/>
          </w:tcPr>
          <w:p w14:paraId="14554B81">
            <w:pPr>
              <w:pStyle w:val="2"/>
              <w:widowControl w:val="0"/>
              <w:snapToGrid w:val="0"/>
              <w:spacing w:before="0" w:beforeAutospacing="0" w:after="0" w:afterAutospacing="0"/>
              <w:jc w:val="both"/>
              <w:outlineLvl w:val="0"/>
              <w:rPr>
                <w:rFonts w:hint="eastAsia" w:ascii="仿宋_GB2312" w:hAnsi="Times New Roman" w:eastAsia="仿宋_GB2312" w:cs="Times New Roman"/>
                <w:b w:val="0"/>
                <w:bCs w:val="0"/>
                <w:sz w:val="28"/>
                <w:szCs w:val="28"/>
                <w:lang w:eastAsia="zh-CN"/>
              </w:rPr>
            </w:pPr>
            <w:r>
              <w:rPr>
                <w:rFonts w:hint="eastAsia" w:ascii="仿宋_GB2312" w:hAnsi="Times New Roman" w:eastAsia="仿宋_GB2312" w:cs="Times New Roman"/>
                <w:b w:val="0"/>
                <w:bCs w:val="0"/>
                <w:sz w:val="28"/>
                <w:szCs w:val="28"/>
              </w:rPr>
              <w:t>发表</w:t>
            </w:r>
            <w:r>
              <w:rPr>
                <w:rFonts w:ascii="仿宋_GB2312" w:hAnsi="Times New Roman" w:eastAsia="仿宋_GB2312" w:cs="Times New Roman"/>
                <w:b w:val="0"/>
                <w:bCs w:val="0"/>
                <w:sz w:val="28"/>
                <w:szCs w:val="28"/>
              </w:rPr>
              <w:t>SCI/EI期刊</w:t>
            </w:r>
            <w:r>
              <w:rPr>
                <w:rFonts w:hint="eastAsia" w:ascii="仿宋_GB2312" w:hAnsi="Times New Roman" w:eastAsia="仿宋_GB2312" w:cs="Times New Roman"/>
                <w:b w:val="0"/>
                <w:bCs w:val="0"/>
                <w:sz w:val="28"/>
                <w:szCs w:val="28"/>
              </w:rPr>
              <w:t>论文</w:t>
            </w:r>
            <w:r>
              <w:rPr>
                <w:rFonts w:hint="eastAsia" w:ascii="仿宋_GB2312" w:hAnsi="Times New Roman" w:eastAsia="仿宋_GB2312" w:cs="Times New Roman"/>
                <w:b w:val="0"/>
                <w:bCs w:val="0"/>
                <w:sz w:val="28"/>
                <w:szCs w:val="28"/>
                <w:lang w:eastAsia="zh-CN"/>
              </w:rPr>
              <w:t>；</w:t>
            </w:r>
          </w:p>
        </w:tc>
        <w:tc>
          <w:tcPr>
            <w:tcW w:w="1579" w:type="dxa"/>
            <w:shd w:val="clear" w:color="auto" w:fill="auto"/>
          </w:tcPr>
          <w:p w14:paraId="0A980170">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rPr>
            </w:pPr>
            <w:r>
              <w:rPr>
                <w:rFonts w:ascii="仿宋_GB2312" w:hAnsi="Times New Roman" w:eastAsia="仿宋_GB2312" w:cs="Times New Roman"/>
                <w:b w:val="0"/>
                <w:bCs w:val="0"/>
                <w:sz w:val="28"/>
                <w:szCs w:val="28"/>
              </w:rPr>
              <w:t>12-15分</w:t>
            </w:r>
          </w:p>
        </w:tc>
      </w:tr>
      <w:tr w14:paraId="2874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1BC0F423">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B档</w:t>
            </w:r>
          </w:p>
        </w:tc>
        <w:tc>
          <w:tcPr>
            <w:tcW w:w="5935" w:type="dxa"/>
            <w:shd w:val="clear" w:color="auto" w:fill="auto"/>
          </w:tcPr>
          <w:p w14:paraId="4E029499">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发表中文</w:t>
            </w:r>
            <w:r>
              <w:rPr>
                <w:rFonts w:ascii="仿宋_GB2312" w:hAnsi="Times New Roman" w:eastAsia="仿宋_GB2312" w:cs="Times New Roman"/>
                <w:b w:val="0"/>
                <w:bCs w:val="0"/>
                <w:sz w:val="28"/>
                <w:szCs w:val="28"/>
                <w:highlight w:val="none"/>
              </w:rPr>
              <w:t>核心期刊</w:t>
            </w:r>
            <w:r>
              <w:rPr>
                <w:rFonts w:hint="eastAsia" w:ascii="仿宋_GB2312" w:hAnsi="Times New Roman" w:eastAsia="仿宋_GB2312" w:cs="Times New Roman"/>
                <w:b w:val="0"/>
                <w:bCs w:val="0"/>
                <w:sz w:val="28"/>
                <w:szCs w:val="28"/>
                <w:highlight w:val="none"/>
                <w:lang w:eastAsia="zh-CN"/>
              </w:rPr>
              <w:t>论文</w:t>
            </w:r>
            <w:r>
              <w:rPr>
                <w:rFonts w:ascii="仿宋_GB2312" w:hAnsi="Times New Roman" w:eastAsia="仿宋_GB2312" w:cs="Times New Roman"/>
                <w:b w:val="0"/>
                <w:bCs w:val="0"/>
                <w:sz w:val="28"/>
                <w:szCs w:val="28"/>
                <w:highlight w:val="none"/>
              </w:rPr>
              <w:t>；</w:t>
            </w:r>
            <w:r>
              <w:rPr>
                <w:rFonts w:hint="eastAsia" w:ascii="仿宋_GB2312" w:hAnsi="Times New Roman" w:eastAsia="仿宋_GB2312" w:cs="Times New Roman"/>
                <w:b w:val="0"/>
                <w:bCs w:val="0"/>
                <w:sz w:val="28"/>
                <w:szCs w:val="28"/>
                <w:highlight w:val="none"/>
                <w:lang w:eastAsia="zh-CN"/>
              </w:rPr>
              <w:t>发明专利</w:t>
            </w:r>
            <w:r>
              <w:rPr>
                <w:rFonts w:ascii="仿宋_GB2312" w:hAnsi="Times New Roman" w:eastAsia="仿宋_GB2312" w:cs="Times New Roman"/>
                <w:b w:val="0"/>
                <w:bCs w:val="0"/>
                <w:sz w:val="28"/>
                <w:szCs w:val="28"/>
                <w:highlight w:val="none"/>
              </w:rPr>
              <w:t>第一发明人</w:t>
            </w:r>
          </w:p>
        </w:tc>
        <w:tc>
          <w:tcPr>
            <w:tcW w:w="1579" w:type="dxa"/>
            <w:shd w:val="clear" w:color="auto" w:fill="auto"/>
          </w:tcPr>
          <w:p w14:paraId="347F9914">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9-11分</w:t>
            </w:r>
          </w:p>
        </w:tc>
      </w:tr>
      <w:tr w14:paraId="65C9B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71D2F54F">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C档</w:t>
            </w:r>
          </w:p>
        </w:tc>
        <w:tc>
          <w:tcPr>
            <w:tcW w:w="5935" w:type="dxa"/>
            <w:shd w:val="clear" w:color="auto" w:fill="auto"/>
          </w:tcPr>
          <w:p w14:paraId="6AEEC86E">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发表</w:t>
            </w:r>
            <w:r>
              <w:rPr>
                <w:rFonts w:ascii="仿宋_GB2312" w:hAnsi="Times New Roman" w:eastAsia="仿宋_GB2312" w:cs="Times New Roman"/>
                <w:b w:val="0"/>
                <w:bCs w:val="0"/>
                <w:sz w:val="28"/>
                <w:szCs w:val="28"/>
                <w:highlight w:val="none"/>
              </w:rPr>
              <w:t>普通期刊</w:t>
            </w:r>
            <w:r>
              <w:rPr>
                <w:rFonts w:hint="eastAsia" w:ascii="仿宋_GB2312" w:hAnsi="Times New Roman" w:eastAsia="仿宋_GB2312" w:cs="Times New Roman"/>
                <w:b w:val="0"/>
                <w:bCs w:val="0"/>
                <w:sz w:val="28"/>
                <w:szCs w:val="28"/>
                <w:highlight w:val="none"/>
                <w:lang w:eastAsia="zh-CN"/>
              </w:rPr>
              <w:t>论文</w:t>
            </w:r>
            <w:r>
              <w:rPr>
                <w:rFonts w:ascii="仿宋_GB2312" w:hAnsi="Times New Roman" w:eastAsia="仿宋_GB2312" w:cs="Times New Roman"/>
                <w:b w:val="0"/>
                <w:bCs w:val="0"/>
                <w:sz w:val="28"/>
                <w:szCs w:val="28"/>
                <w:highlight w:val="none"/>
              </w:rPr>
              <w:t>；</w:t>
            </w:r>
            <w:r>
              <w:rPr>
                <w:rFonts w:hint="eastAsia" w:ascii="仿宋_GB2312" w:hAnsi="Times New Roman" w:eastAsia="仿宋_GB2312" w:cs="Times New Roman"/>
                <w:b w:val="0"/>
                <w:bCs w:val="0"/>
                <w:sz w:val="28"/>
                <w:szCs w:val="28"/>
                <w:highlight w:val="none"/>
                <w:lang w:eastAsia="zh-CN"/>
              </w:rPr>
              <w:t>以第一发明人身份</w:t>
            </w:r>
            <w:r>
              <w:rPr>
                <w:rFonts w:hint="eastAsia" w:ascii="仿宋_GB2312" w:hAnsi="Times New Roman" w:eastAsia="仿宋_GB2312" w:cs="Times New Roman"/>
                <w:b w:val="0"/>
                <w:bCs w:val="0"/>
                <w:sz w:val="28"/>
                <w:szCs w:val="28"/>
                <w:highlight w:val="none"/>
              </w:rPr>
              <w:t>获得授权实用新型、外观专利及计算机软件著作权；参与科研项目结题</w:t>
            </w:r>
          </w:p>
        </w:tc>
        <w:tc>
          <w:tcPr>
            <w:tcW w:w="1579" w:type="dxa"/>
            <w:shd w:val="clear" w:color="auto" w:fill="auto"/>
          </w:tcPr>
          <w:p w14:paraId="7E5B5C6E">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6-8分</w:t>
            </w:r>
          </w:p>
        </w:tc>
      </w:tr>
      <w:tr w14:paraId="2A13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31F81983">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D档</w:t>
            </w:r>
          </w:p>
        </w:tc>
        <w:tc>
          <w:tcPr>
            <w:tcW w:w="5935" w:type="dxa"/>
          </w:tcPr>
          <w:p w14:paraId="19247C87">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有完整科研训练经历但</w:t>
            </w:r>
            <w:r>
              <w:rPr>
                <w:rFonts w:hint="eastAsia" w:ascii="仿宋_GB2312" w:hAnsi="Times New Roman" w:eastAsia="仿宋_GB2312" w:cs="Times New Roman"/>
                <w:b w:val="0"/>
                <w:bCs w:val="0"/>
                <w:sz w:val="28"/>
                <w:szCs w:val="28"/>
                <w:highlight w:val="none"/>
              </w:rPr>
              <w:t>无</w:t>
            </w:r>
            <w:r>
              <w:rPr>
                <w:rFonts w:ascii="仿宋_GB2312" w:hAnsi="Times New Roman" w:eastAsia="仿宋_GB2312" w:cs="Times New Roman"/>
                <w:b w:val="0"/>
                <w:bCs w:val="0"/>
                <w:sz w:val="28"/>
                <w:szCs w:val="28"/>
                <w:highlight w:val="none"/>
              </w:rPr>
              <w:t>成果</w:t>
            </w:r>
          </w:p>
        </w:tc>
        <w:tc>
          <w:tcPr>
            <w:tcW w:w="1579" w:type="dxa"/>
          </w:tcPr>
          <w:p w14:paraId="76D20730">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3-5分</w:t>
            </w:r>
          </w:p>
        </w:tc>
      </w:tr>
      <w:tr w14:paraId="6FB4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7" w:type="dxa"/>
          </w:tcPr>
          <w:p w14:paraId="7928BDE3">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E档</w:t>
            </w:r>
          </w:p>
        </w:tc>
        <w:tc>
          <w:tcPr>
            <w:tcW w:w="5935" w:type="dxa"/>
          </w:tcPr>
          <w:p w14:paraId="6F1190F2">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有相关</w:t>
            </w:r>
            <w:r>
              <w:rPr>
                <w:rFonts w:ascii="仿宋_GB2312" w:hAnsi="Times New Roman" w:eastAsia="仿宋_GB2312" w:cs="Times New Roman"/>
                <w:b w:val="0"/>
                <w:bCs w:val="0"/>
                <w:sz w:val="28"/>
                <w:szCs w:val="28"/>
                <w:highlight w:val="none"/>
              </w:rPr>
              <w:t>科研经历</w:t>
            </w:r>
            <w:r>
              <w:rPr>
                <w:rFonts w:hint="eastAsia" w:ascii="仿宋_GB2312" w:hAnsi="Times New Roman" w:eastAsia="仿宋_GB2312" w:cs="Times New Roman"/>
                <w:b w:val="0"/>
                <w:bCs w:val="0"/>
                <w:sz w:val="28"/>
                <w:szCs w:val="28"/>
                <w:highlight w:val="none"/>
              </w:rPr>
              <w:t>但无成果</w:t>
            </w:r>
          </w:p>
        </w:tc>
        <w:tc>
          <w:tcPr>
            <w:tcW w:w="1579" w:type="dxa"/>
          </w:tcPr>
          <w:p w14:paraId="40089B7D">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0-2分</w:t>
            </w:r>
          </w:p>
        </w:tc>
      </w:tr>
    </w:tbl>
    <w:p w14:paraId="11199824">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r>
        <w:rPr>
          <w:rFonts w:hint="eastAsia" w:ascii="仿宋_GB2312" w:hAnsi="Times New Roman" w:eastAsia="仿宋_GB2312" w:cs="Times New Roman"/>
          <w:b w:val="0"/>
          <w:bCs w:val="0"/>
          <w:sz w:val="32"/>
          <w:szCs w:val="32"/>
          <w:highlight w:val="none"/>
        </w:rPr>
        <w:t>说明：主要考查考生在本科期间的高水平科研创新成果、科研经历等，并视情况在后续综合考核中进一步考查。学生发表的高水平学术期刊，原则上应以第一作者发表的与学科专业相关的科研论文。弄虚作假者取消资格。</w:t>
      </w:r>
    </w:p>
    <w:p w14:paraId="064805E6">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p>
    <w:p w14:paraId="5AC280E2">
      <w:pPr>
        <w:pStyle w:val="2"/>
        <w:shd w:val="clear" w:color="auto" w:fill="FFFFFF"/>
        <w:snapToGrid w:val="0"/>
        <w:spacing w:before="0" w:beforeAutospacing="0" w:after="0" w:afterAutospacing="0"/>
        <w:jc w:val="center"/>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 xml:space="preserve">表3 </w:t>
      </w:r>
      <w:r>
        <w:rPr>
          <w:rFonts w:ascii="仿宋_GB2312" w:hAnsi="Times New Roman" w:eastAsia="仿宋_GB2312" w:cs="Times New Roman"/>
          <w:sz w:val="32"/>
          <w:szCs w:val="32"/>
          <w:highlight w:val="none"/>
        </w:rPr>
        <w:t>学科竞赛</w:t>
      </w:r>
      <w:r>
        <w:rPr>
          <w:rFonts w:hint="eastAsia" w:ascii="仿宋_GB2312" w:hAnsi="Times New Roman" w:eastAsia="仿宋_GB2312" w:cs="Times New Roman"/>
          <w:sz w:val="32"/>
          <w:szCs w:val="32"/>
          <w:highlight w:val="none"/>
        </w:rPr>
        <w:t>与奖学金评分细则</w:t>
      </w:r>
      <w:r>
        <w:rPr>
          <w:rFonts w:ascii="仿宋_GB2312" w:hAnsi="Times New Roman" w:eastAsia="仿宋_GB2312" w:cs="Times New Roman"/>
          <w:sz w:val="32"/>
          <w:szCs w:val="32"/>
          <w:highlight w:val="none"/>
        </w:rPr>
        <w:t>（</w:t>
      </w:r>
      <w:r>
        <w:rPr>
          <w:rFonts w:hint="eastAsia" w:ascii="仿宋_GB2312" w:hAnsi="Times New Roman" w:eastAsia="仿宋_GB2312" w:cs="Times New Roman"/>
          <w:sz w:val="32"/>
          <w:szCs w:val="32"/>
          <w:highlight w:val="none"/>
        </w:rPr>
        <w:t>10</w:t>
      </w:r>
      <w:r>
        <w:rPr>
          <w:rFonts w:ascii="仿宋_GB2312" w:hAnsi="Times New Roman" w:eastAsia="仿宋_GB2312" w:cs="Times New Roman"/>
          <w:sz w:val="32"/>
          <w:szCs w:val="32"/>
          <w:highlight w:val="none"/>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5012"/>
        <w:gridCol w:w="1642"/>
      </w:tblGrid>
      <w:tr w14:paraId="3C73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3F837954">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档次</w:t>
            </w:r>
          </w:p>
        </w:tc>
        <w:tc>
          <w:tcPr>
            <w:tcW w:w="5047" w:type="dxa"/>
          </w:tcPr>
          <w:p w14:paraId="196C1CA8">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条件</w:t>
            </w:r>
          </w:p>
        </w:tc>
        <w:tc>
          <w:tcPr>
            <w:tcW w:w="1649" w:type="dxa"/>
          </w:tcPr>
          <w:p w14:paraId="28658947">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分值</w:t>
            </w:r>
          </w:p>
        </w:tc>
      </w:tr>
      <w:tr w14:paraId="228D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13766CB4">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A档</w:t>
            </w:r>
          </w:p>
        </w:tc>
        <w:tc>
          <w:tcPr>
            <w:tcW w:w="5047" w:type="dxa"/>
          </w:tcPr>
          <w:p w14:paraId="39E6ED58">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国家级竞赛一等奖及以上</w:t>
            </w:r>
            <w:r>
              <w:rPr>
                <w:rFonts w:hint="eastAsia" w:ascii="仿宋_GB2312" w:hAnsi="Times New Roman" w:eastAsia="仿宋_GB2312" w:cs="Times New Roman"/>
                <w:b w:val="0"/>
                <w:bCs w:val="0"/>
                <w:sz w:val="28"/>
                <w:szCs w:val="28"/>
                <w:highlight w:val="none"/>
              </w:rPr>
              <w:t>/国家级一等奖学金</w:t>
            </w:r>
          </w:p>
        </w:tc>
        <w:tc>
          <w:tcPr>
            <w:tcW w:w="1649" w:type="dxa"/>
          </w:tcPr>
          <w:p w14:paraId="42C47BD1">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8-10分</w:t>
            </w:r>
          </w:p>
        </w:tc>
      </w:tr>
      <w:tr w14:paraId="00DA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77848190">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B档</w:t>
            </w:r>
          </w:p>
        </w:tc>
        <w:tc>
          <w:tcPr>
            <w:tcW w:w="5047" w:type="dxa"/>
          </w:tcPr>
          <w:p w14:paraId="423ECD0E">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国家级竞赛二等奖</w:t>
            </w:r>
            <w:r>
              <w:rPr>
                <w:rFonts w:hint="eastAsia" w:ascii="仿宋_GB2312" w:hAnsi="Times New Roman" w:eastAsia="仿宋_GB2312" w:cs="Times New Roman"/>
                <w:b w:val="0"/>
                <w:bCs w:val="0"/>
                <w:sz w:val="28"/>
                <w:szCs w:val="28"/>
                <w:highlight w:val="none"/>
              </w:rPr>
              <w:t>/国家级二等奖学金</w:t>
            </w:r>
          </w:p>
        </w:tc>
        <w:tc>
          <w:tcPr>
            <w:tcW w:w="1649" w:type="dxa"/>
          </w:tcPr>
          <w:p w14:paraId="52470A7D">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5-7</w:t>
            </w:r>
            <w:r>
              <w:rPr>
                <w:rFonts w:ascii="仿宋_GB2312" w:hAnsi="Times New Roman" w:eastAsia="仿宋_GB2312" w:cs="Times New Roman"/>
                <w:b w:val="0"/>
                <w:bCs w:val="0"/>
                <w:sz w:val="28"/>
                <w:szCs w:val="28"/>
                <w:highlight w:val="none"/>
              </w:rPr>
              <w:t>分</w:t>
            </w:r>
          </w:p>
        </w:tc>
      </w:tr>
      <w:tr w14:paraId="689B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7F1BB626">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C档</w:t>
            </w:r>
          </w:p>
        </w:tc>
        <w:tc>
          <w:tcPr>
            <w:tcW w:w="5047" w:type="dxa"/>
          </w:tcPr>
          <w:p w14:paraId="0D575ECE">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省级竞赛一等奖</w:t>
            </w:r>
          </w:p>
        </w:tc>
        <w:tc>
          <w:tcPr>
            <w:tcW w:w="1649" w:type="dxa"/>
          </w:tcPr>
          <w:p w14:paraId="0847BD4B">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4</w:t>
            </w:r>
            <w:r>
              <w:rPr>
                <w:rFonts w:ascii="仿宋_GB2312" w:hAnsi="Times New Roman" w:eastAsia="仿宋_GB2312" w:cs="Times New Roman"/>
                <w:b w:val="0"/>
                <w:bCs w:val="0"/>
                <w:sz w:val="28"/>
                <w:szCs w:val="28"/>
                <w:highlight w:val="none"/>
              </w:rPr>
              <w:t>分</w:t>
            </w:r>
          </w:p>
        </w:tc>
      </w:tr>
      <w:tr w14:paraId="4587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6497F483">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D档</w:t>
            </w:r>
          </w:p>
        </w:tc>
        <w:tc>
          <w:tcPr>
            <w:tcW w:w="5047" w:type="dxa"/>
          </w:tcPr>
          <w:p w14:paraId="0F67165C">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省级竞赛二、三等奖</w:t>
            </w:r>
          </w:p>
        </w:tc>
        <w:tc>
          <w:tcPr>
            <w:tcW w:w="1649" w:type="dxa"/>
          </w:tcPr>
          <w:p w14:paraId="6CAB08DD">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2</w:t>
            </w:r>
            <w:r>
              <w:rPr>
                <w:rFonts w:hint="eastAsia" w:ascii="仿宋_GB2312" w:hAnsi="Times New Roman" w:eastAsia="仿宋_GB2312" w:cs="Times New Roman"/>
                <w:b w:val="0"/>
                <w:bCs w:val="0"/>
                <w:sz w:val="28"/>
                <w:szCs w:val="28"/>
                <w:highlight w:val="none"/>
              </w:rPr>
              <w:t>-3</w:t>
            </w:r>
            <w:r>
              <w:rPr>
                <w:rFonts w:ascii="仿宋_GB2312" w:hAnsi="Times New Roman" w:eastAsia="仿宋_GB2312" w:cs="Times New Roman"/>
                <w:b w:val="0"/>
                <w:bCs w:val="0"/>
                <w:sz w:val="28"/>
                <w:szCs w:val="28"/>
                <w:highlight w:val="none"/>
              </w:rPr>
              <w:t>分</w:t>
            </w:r>
          </w:p>
        </w:tc>
      </w:tr>
      <w:tr w14:paraId="1A42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tcPr>
          <w:p w14:paraId="0357FADA">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E档</w:t>
            </w:r>
          </w:p>
        </w:tc>
        <w:tc>
          <w:tcPr>
            <w:tcW w:w="5047" w:type="dxa"/>
          </w:tcPr>
          <w:p w14:paraId="619E24AB">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校级竞赛获奖</w:t>
            </w:r>
            <w:r>
              <w:rPr>
                <w:rFonts w:hint="eastAsia" w:ascii="仿宋_GB2312" w:hAnsi="Times New Roman" w:eastAsia="仿宋_GB2312" w:cs="Times New Roman"/>
                <w:b w:val="0"/>
                <w:bCs w:val="0"/>
                <w:sz w:val="28"/>
                <w:szCs w:val="28"/>
                <w:highlight w:val="none"/>
              </w:rPr>
              <w:t>/校级奖学金</w:t>
            </w:r>
          </w:p>
        </w:tc>
        <w:tc>
          <w:tcPr>
            <w:tcW w:w="1649" w:type="dxa"/>
          </w:tcPr>
          <w:p w14:paraId="002F5AA6">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1分</w:t>
            </w:r>
          </w:p>
        </w:tc>
      </w:tr>
    </w:tbl>
    <w:p w14:paraId="392984E8">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r>
        <w:rPr>
          <w:rFonts w:hint="eastAsia" w:ascii="仿宋_GB2312" w:hAnsi="Times New Roman" w:eastAsia="仿宋_GB2312" w:cs="Times New Roman"/>
          <w:b w:val="0"/>
          <w:bCs w:val="0"/>
          <w:sz w:val="32"/>
          <w:szCs w:val="32"/>
          <w:highlight w:val="none"/>
        </w:rPr>
        <w:t>说明：主要考查考生在本科期间学科竞赛、奖学金等奖项。考生取得的高水平学科竞赛奖项原则上应为学生本科阶段独立参加或作为主力成员（前两名）参加的与学科专业相关的国内外权威竞赛，并获得三等奖及以上奖励。国内赛事限全国赛或本专业领域社会公认的全国较高水平的比赛；国际赛事参照执行，不得低于国内赛事相关标准和要求。</w:t>
      </w:r>
    </w:p>
    <w:p w14:paraId="489592A2">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r>
        <w:rPr>
          <w:rFonts w:ascii="仿宋_GB2312" w:hAnsi="Times New Roman" w:eastAsia="仿宋_GB2312" w:cs="Times New Roman"/>
          <w:b w:val="0"/>
          <w:bCs w:val="0"/>
          <w:sz w:val="32"/>
          <w:szCs w:val="32"/>
          <w:highlight w:val="none"/>
        </w:rPr>
        <w:t>各类奖学金不累计，取最高一项。专项奖学金由专家组参照认定。</w:t>
      </w:r>
    </w:p>
    <w:p w14:paraId="6E7B2E32">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p>
    <w:p w14:paraId="291268D3">
      <w:pPr>
        <w:pStyle w:val="2"/>
        <w:shd w:val="clear" w:color="auto" w:fill="FFFFFF"/>
        <w:snapToGrid w:val="0"/>
        <w:spacing w:before="0" w:beforeAutospacing="0" w:after="0" w:afterAutospacing="0"/>
        <w:jc w:val="center"/>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表4</w:t>
      </w:r>
      <w:r>
        <w:rPr>
          <w:rFonts w:ascii="仿宋_GB2312" w:hAnsi="Times New Roman" w:eastAsia="仿宋_GB2312" w:cs="Times New Roman"/>
          <w:sz w:val="32"/>
          <w:szCs w:val="32"/>
          <w:highlight w:val="none"/>
        </w:rPr>
        <w:t>外语水平</w:t>
      </w:r>
      <w:r>
        <w:rPr>
          <w:rFonts w:hint="eastAsia" w:ascii="仿宋_GB2312" w:hAnsi="Times New Roman" w:eastAsia="仿宋_GB2312" w:cs="Times New Roman"/>
          <w:sz w:val="32"/>
          <w:szCs w:val="32"/>
          <w:highlight w:val="none"/>
        </w:rPr>
        <w:t>评分细则</w:t>
      </w:r>
      <w:r>
        <w:rPr>
          <w:rFonts w:ascii="仿宋_GB2312" w:hAnsi="Times New Roman" w:eastAsia="仿宋_GB2312" w:cs="Times New Roman"/>
          <w:sz w:val="32"/>
          <w:szCs w:val="32"/>
          <w:highlight w:val="none"/>
        </w:rPr>
        <w:t>（5分）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5307"/>
        <w:gridCol w:w="1279"/>
      </w:tblGrid>
      <w:tr w14:paraId="0D57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dxa"/>
            <w:shd w:val="clear" w:color="auto" w:fill="auto"/>
          </w:tcPr>
          <w:p w14:paraId="178B25F6">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档次</w:t>
            </w:r>
          </w:p>
        </w:tc>
        <w:tc>
          <w:tcPr>
            <w:tcW w:w="5319" w:type="dxa"/>
            <w:shd w:val="clear" w:color="auto" w:fill="auto"/>
          </w:tcPr>
          <w:p w14:paraId="0792F38C">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条件</w:t>
            </w:r>
          </w:p>
        </w:tc>
        <w:tc>
          <w:tcPr>
            <w:tcW w:w="1281" w:type="dxa"/>
            <w:shd w:val="clear" w:color="auto" w:fill="auto"/>
          </w:tcPr>
          <w:p w14:paraId="64D7B878">
            <w:pPr>
              <w:pStyle w:val="2"/>
              <w:widowControl w:val="0"/>
              <w:snapToGrid w:val="0"/>
              <w:spacing w:before="0" w:beforeAutospacing="0" w:after="0" w:afterAutospacing="0"/>
              <w:jc w:val="center"/>
              <w:outlineLvl w:val="0"/>
              <w:rPr>
                <w:rFonts w:ascii="仿宋_GB2312" w:hAnsi="Times New Roman" w:eastAsia="仿宋_GB2312" w:cs="Times New Roman"/>
                <w:sz w:val="28"/>
                <w:szCs w:val="28"/>
                <w:highlight w:val="none"/>
              </w:rPr>
            </w:pPr>
            <w:r>
              <w:rPr>
                <w:rFonts w:ascii="仿宋_GB2312" w:hAnsi="Times New Roman" w:eastAsia="仿宋_GB2312" w:cs="Times New Roman"/>
                <w:sz w:val="28"/>
                <w:szCs w:val="28"/>
                <w:highlight w:val="none"/>
              </w:rPr>
              <w:t>分值</w:t>
            </w:r>
          </w:p>
        </w:tc>
      </w:tr>
      <w:tr w14:paraId="7529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dxa"/>
            <w:shd w:val="clear" w:color="auto" w:fill="auto"/>
          </w:tcPr>
          <w:p w14:paraId="7EBFAE0C">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A档</w:t>
            </w:r>
          </w:p>
        </w:tc>
        <w:tc>
          <w:tcPr>
            <w:tcW w:w="5319" w:type="dxa"/>
          </w:tcPr>
          <w:p w14:paraId="2078779E">
            <w:pPr>
              <w:pStyle w:val="2"/>
              <w:widowControl w:val="0"/>
              <w:snapToGrid w:val="0"/>
              <w:spacing w:before="0" w:beforeAutospacing="0" w:after="0" w:afterAutospacing="0"/>
              <w:jc w:val="both"/>
              <w:outlineLvl w:val="0"/>
              <w:rPr>
                <w:rFonts w:hint="default"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六级≥550分/托福≥9</w:t>
            </w:r>
            <w:r>
              <w:rPr>
                <w:rFonts w:hint="eastAsia" w:ascii="仿宋_GB2312" w:hAnsi="Times New Roman" w:eastAsia="仿宋_GB2312" w:cs="Times New Roman"/>
                <w:b w:val="0"/>
                <w:bCs w:val="0"/>
                <w:sz w:val="28"/>
                <w:szCs w:val="28"/>
                <w:highlight w:val="none"/>
                <w:lang w:eastAsia="zh-CN"/>
              </w:rPr>
              <w:t>0</w:t>
            </w:r>
            <w:r>
              <w:rPr>
                <w:rFonts w:ascii="仿宋_GB2312" w:hAnsi="Times New Roman" w:eastAsia="仿宋_GB2312" w:cs="Times New Roman"/>
                <w:b w:val="0"/>
                <w:bCs w:val="0"/>
                <w:sz w:val="28"/>
                <w:szCs w:val="28"/>
                <w:highlight w:val="none"/>
              </w:rPr>
              <w:t>/雅思≥</w:t>
            </w:r>
            <w:r>
              <w:rPr>
                <w:rFonts w:hint="eastAsia" w:ascii="仿宋_GB2312" w:hAnsi="Times New Roman" w:eastAsia="仿宋_GB2312" w:cs="Times New Roman"/>
                <w:b w:val="0"/>
                <w:bCs w:val="0"/>
                <w:sz w:val="28"/>
                <w:szCs w:val="28"/>
                <w:highlight w:val="none"/>
                <w:lang w:eastAsia="zh-CN"/>
              </w:rPr>
              <w:t>6</w:t>
            </w:r>
            <w:r>
              <w:rPr>
                <w:rFonts w:hint="eastAsia" w:ascii="仿宋_GB2312" w:hAnsi="Times New Roman" w:eastAsia="仿宋_GB2312" w:cs="Times New Roman"/>
                <w:b w:val="0"/>
                <w:bCs w:val="0"/>
                <w:sz w:val="28"/>
                <w:szCs w:val="28"/>
                <w:highlight w:val="none"/>
                <w:lang w:val="en-US" w:eastAsia="zh-CN"/>
              </w:rPr>
              <w:t>.5</w:t>
            </w:r>
          </w:p>
        </w:tc>
        <w:tc>
          <w:tcPr>
            <w:tcW w:w="1281" w:type="dxa"/>
          </w:tcPr>
          <w:p w14:paraId="0BBE3418">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5</w:t>
            </w:r>
            <w:r>
              <w:rPr>
                <w:rFonts w:ascii="仿宋_GB2312" w:hAnsi="Times New Roman" w:eastAsia="仿宋_GB2312" w:cs="Times New Roman"/>
                <w:b w:val="0"/>
                <w:bCs w:val="0"/>
                <w:sz w:val="28"/>
                <w:szCs w:val="28"/>
                <w:highlight w:val="none"/>
              </w:rPr>
              <w:t>分</w:t>
            </w:r>
          </w:p>
        </w:tc>
      </w:tr>
      <w:tr w14:paraId="56EF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dxa"/>
            <w:shd w:val="clear" w:color="auto" w:fill="auto"/>
          </w:tcPr>
          <w:p w14:paraId="6D7F1913">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B档</w:t>
            </w:r>
          </w:p>
        </w:tc>
        <w:tc>
          <w:tcPr>
            <w:tcW w:w="5319" w:type="dxa"/>
          </w:tcPr>
          <w:p w14:paraId="3413E9E9">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六级</w:t>
            </w:r>
            <w:r>
              <w:rPr>
                <w:rFonts w:hint="default" w:ascii="仿宋_GB2312" w:hAnsi="Times New Roman" w:eastAsia="仿宋_GB2312" w:cs="Times New Roman"/>
                <w:b w:val="0"/>
                <w:bCs w:val="0"/>
                <w:sz w:val="28"/>
                <w:szCs w:val="28"/>
                <w:highlight w:val="none"/>
                <w:lang w:val="en-US" w:eastAsia="zh-CN"/>
              </w:rPr>
              <w:t>500</w:t>
            </w:r>
            <w:r>
              <w:rPr>
                <w:rFonts w:ascii="仿宋_GB2312" w:hAnsi="Times New Roman" w:eastAsia="仿宋_GB2312" w:cs="Times New Roman"/>
                <w:b w:val="0"/>
                <w:bCs w:val="0"/>
                <w:sz w:val="28"/>
                <w:szCs w:val="28"/>
                <w:highlight w:val="none"/>
              </w:rPr>
              <w:t>-5</w:t>
            </w:r>
            <w:r>
              <w:rPr>
                <w:rFonts w:hint="default" w:ascii="仿宋_GB2312" w:hAnsi="Times New Roman" w:eastAsia="仿宋_GB2312" w:cs="Times New Roman"/>
                <w:b w:val="0"/>
                <w:bCs w:val="0"/>
                <w:sz w:val="28"/>
                <w:szCs w:val="28"/>
                <w:highlight w:val="none"/>
                <w:lang w:val="en-US" w:eastAsia="zh-CN"/>
              </w:rPr>
              <w:t>50</w:t>
            </w:r>
            <w:r>
              <w:rPr>
                <w:rFonts w:hint="eastAsia" w:ascii="仿宋_GB2312" w:hAnsi="Times New Roman" w:eastAsia="仿宋_GB2312" w:cs="Times New Roman"/>
                <w:b w:val="0"/>
                <w:bCs w:val="0"/>
                <w:sz w:val="28"/>
                <w:szCs w:val="28"/>
                <w:highlight w:val="none"/>
                <w:lang w:val="en-US" w:eastAsia="zh-CN"/>
              </w:rPr>
              <w:t>分</w:t>
            </w:r>
            <w:r>
              <w:rPr>
                <w:rFonts w:ascii="仿宋_GB2312" w:hAnsi="Times New Roman" w:eastAsia="仿宋_GB2312" w:cs="Times New Roman"/>
                <w:b w:val="0"/>
                <w:bCs w:val="0"/>
                <w:sz w:val="28"/>
                <w:szCs w:val="28"/>
                <w:highlight w:val="none"/>
              </w:rPr>
              <w:t>/托福80-</w:t>
            </w:r>
            <w:r>
              <w:rPr>
                <w:rFonts w:hint="default" w:ascii="仿宋_GB2312" w:hAnsi="Times New Roman" w:eastAsia="仿宋_GB2312" w:cs="Times New Roman"/>
                <w:b w:val="0"/>
                <w:bCs w:val="0"/>
                <w:sz w:val="28"/>
                <w:szCs w:val="28"/>
                <w:highlight w:val="none"/>
                <w:lang w:val="en-US" w:eastAsia="zh-CN"/>
              </w:rPr>
              <w:t>89</w:t>
            </w:r>
            <w:r>
              <w:rPr>
                <w:rFonts w:ascii="仿宋_GB2312" w:hAnsi="Times New Roman" w:eastAsia="仿宋_GB2312" w:cs="Times New Roman"/>
                <w:b w:val="0"/>
                <w:bCs w:val="0"/>
                <w:sz w:val="28"/>
                <w:szCs w:val="28"/>
                <w:highlight w:val="none"/>
              </w:rPr>
              <w:t>/雅思6.0</w:t>
            </w:r>
            <w:r>
              <w:rPr>
                <w:rFonts w:hint="eastAsia" w:ascii="仿宋_GB2312" w:hAnsi="Times New Roman" w:eastAsia="仿宋_GB2312" w:cs="Times New Roman"/>
                <w:b w:val="0"/>
                <w:bCs w:val="0"/>
                <w:sz w:val="28"/>
                <w:szCs w:val="28"/>
                <w:highlight w:val="none"/>
                <w:lang w:eastAsia="zh-CN"/>
              </w:rPr>
              <w:t>分</w:t>
            </w:r>
          </w:p>
        </w:tc>
        <w:tc>
          <w:tcPr>
            <w:tcW w:w="1281" w:type="dxa"/>
          </w:tcPr>
          <w:p w14:paraId="5D6B8BB7">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lang w:val="en-US" w:eastAsia="zh-CN"/>
              </w:rPr>
              <w:t>4</w:t>
            </w:r>
            <w:r>
              <w:rPr>
                <w:rFonts w:hint="eastAsia" w:ascii="仿宋_GB2312" w:hAnsi="Times New Roman" w:eastAsia="仿宋_GB2312" w:cs="Times New Roman"/>
                <w:b w:val="0"/>
                <w:bCs w:val="0"/>
                <w:sz w:val="28"/>
                <w:szCs w:val="28"/>
                <w:highlight w:val="none"/>
              </w:rPr>
              <w:t>分</w:t>
            </w:r>
          </w:p>
        </w:tc>
      </w:tr>
      <w:tr w14:paraId="5868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dxa"/>
            <w:shd w:val="clear" w:color="auto" w:fill="auto"/>
          </w:tcPr>
          <w:p w14:paraId="3B6957EC">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C档</w:t>
            </w:r>
          </w:p>
        </w:tc>
        <w:tc>
          <w:tcPr>
            <w:tcW w:w="5319" w:type="dxa"/>
          </w:tcPr>
          <w:p w14:paraId="1B461C00">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i w:val="0"/>
                <w:iCs w:val="0"/>
                <w:caps w:val="0"/>
                <w:spacing w:val="0"/>
                <w:sz w:val="28"/>
                <w:szCs w:val="28"/>
                <w:highlight w:val="none"/>
                <w:shd w:val="clear"/>
                <w:lang w:eastAsia="zh-CN"/>
              </w:rPr>
              <w:t>四级</w:t>
            </w:r>
            <w:r>
              <w:rPr>
                <w:rFonts w:hint="eastAsia" w:ascii="仿宋_GB2312" w:hAnsi="Times New Roman" w:eastAsia="仿宋_GB2312" w:cs="Times New Roman"/>
                <w:b w:val="0"/>
                <w:bCs w:val="0"/>
                <w:i w:val="0"/>
                <w:iCs w:val="0"/>
                <w:caps w:val="0"/>
                <w:spacing w:val="0"/>
                <w:sz w:val="28"/>
                <w:szCs w:val="28"/>
                <w:highlight w:val="none"/>
                <w:shd w:val="clear"/>
                <w:lang w:val="en-US" w:eastAsia="zh-CN"/>
              </w:rPr>
              <w:t>500分以上/</w:t>
            </w:r>
            <w:r>
              <w:rPr>
                <w:rFonts w:ascii="仿宋_GB2312" w:hAnsi="Times New Roman" w:eastAsia="仿宋_GB2312" w:cs="Times New Roman"/>
                <w:b w:val="0"/>
                <w:bCs w:val="0"/>
                <w:i w:val="0"/>
                <w:iCs w:val="0"/>
                <w:caps w:val="0"/>
                <w:color w:val="auto"/>
                <w:spacing w:val="0"/>
                <w:sz w:val="28"/>
                <w:szCs w:val="28"/>
                <w:highlight w:val="none"/>
                <w:shd w:val="clear" w:fill="auto"/>
              </w:rPr>
              <w:t>六级425</w:t>
            </w:r>
            <w:r>
              <w:rPr>
                <w:rFonts w:hint="default" w:ascii="仿宋_GB2312" w:hAnsi="Times New Roman" w:eastAsia="仿宋_GB2312" w:cs="Times New Roman"/>
                <w:b w:val="0"/>
                <w:bCs w:val="0"/>
                <w:i w:val="0"/>
                <w:iCs w:val="0"/>
                <w:caps w:val="0"/>
                <w:color w:val="auto"/>
                <w:spacing w:val="0"/>
                <w:sz w:val="28"/>
                <w:szCs w:val="28"/>
                <w:highlight w:val="none"/>
                <w:shd w:val="clear" w:fill="auto"/>
                <w:lang w:val="en-US" w:eastAsia="zh-CN"/>
              </w:rPr>
              <w:t>-</w:t>
            </w:r>
            <w:r>
              <w:rPr>
                <w:rFonts w:ascii="仿宋_GB2312" w:hAnsi="Times New Roman" w:eastAsia="仿宋_GB2312" w:cs="Times New Roman"/>
                <w:b w:val="0"/>
                <w:bCs w:val="0"/>
                <w:i w:val="0"/>
                <w:iCs w:val="0"/>
                <w:caps w:val="0"/>
                <w:color w:val="auto"/>
                <w:spacing w:val="0"/>
                <w:sz w:val="28"/>
                <w:szCs w:val="28"/>
                <w:highlight w:val="none"/>
                <w:shd w:val="clear" w:fill="auto"/>
              </w:rPr>
              <w:t>500分</w:t>
            </w:r>
            <w:r>
              <w:rPr>
                <w:rFonts w:hint="default" w:ascii="仿宋_GB2312" w:hAnsi="Times New Roman" w:eastAsia="仿宋_GB2312" w:cs="Times New Roman"/>
                <w:b w:val="0"/>
                <w:bCs w:val="0"/>
                <w:i w:val="0"/>
                <w:iCs w:val="0"/>
                <w:caps w:val="0"/>
                <w:color w:val="auto"/>
                <w:spacing w:val="0"/>
                <w:sz w:val="28"/>
                <w:szCs w:val="28"/>
                <w:highlight w:val="none"/>
                <w:shd w:val="clear" w:fill="auto"/>
                <w:lang w:val="en-US" w:eastAsia="zh-CN"/>
              </w:rPr>
              <w:t>/</w:t>
            </w:r>
            <w:r>
              <w:rPr>
                <w:rFonts w:hint="default" w:ascii="仿宋_GB2312" w:hAnsi="Times New Roman" w:eastAsia="仿宋_GB2312" w:cs="Times New Roman"/>
                <w:b w:val="0"/>
                <w:bCs w:val="0"/>
                <w:i w:val="0"/>
                <w:iCs w:val="0"/>
                <w:caps w:val="0"/>
                <w:color w:val="auto"/>
                <w:spacing w:val="0"/>
                <w:sz w:val="28"/>
                <w:szCs w:val="28"/>
                <w:highlight w:val="none"/>
                <w:shd w:val="clear" w:fill="auto"/>
              </w:rPr>
              <w:t>托福70-79分</w:t>
            </w:r>
            <w:r>
              <w:rPr>
                <w:rFonts w:hint="default" w:ascii="仿宋_GB2312" w:hAnsi="Times New Roman" w:eastAsia="仿宋_GB2312" w:cs="Times New Roman"/>
                <w:b w:val="0"/>
                <w:bCs w:val="0"/>
                <w:i w:val="0"/>
                <w:iCs w:val="0"/>
                <w:caps w:val="0"/>
                <w:color w:val="auto"/>
                <w:spacing w:val="0"/>
                <w:sz w:val="28"/>
                <w:szCs w:val="28"/>
                <w:highlight w:val="none"/>
                <w:shd w:val="clear" w:fill="auto"/>
                <w:lang w:val="en-US" w:eastAsia="zh-CN"/>
              </w:rPr>
              <w:t>/</w:t>
            </w:r>
            <w:r>
              <w:rPr>
                <w:rFonts w:hint="default" w:ascii="仿宋_GB2312" w:hAnsi="Times New Roman" w:eastAsia="仿宋_GB2312" w:cs="Times New Roman"/>
                <w:b w:val="0"/>
                <w:bCs w:val="0"/>
                <w:i w:val="0"/>
                <w:iCs w:val="0"/>
                <w:caps w:val="0"/>
                <w:color w:val="auto"/>
                <w:spacing w:val="0"/>
                <w:sz w:val="28"/>
                <w:szCs w:val="28"/>
                <w:highlight w:val="none"/>
                <w:shd w:val="clear" w:fill="auto"/>
              </w:rPr>
              <w:t>雅思5.5分</w:t>
            </w:r>
          </w:p>
        </w:tc>
        <w:tc>
          <w:tcPr>
            <w:tcW w:w="1281" w:type="dxa"/>
          </w:tcPr>
          <w:p w14:paraId="21BA6CB3">
            <w:pPr>
              <w:pStyle w:val="2"/>
              <w:widowControl w:val="0"/>
              <w:snapToGrid w:val="0"/>
              <w:spacing w:before="0" w:beforeAutospacing="0" w:after="0" w:afterAutospacing="0"/>
              <w:jc w:val="center"/>
              <w:outlineLvl w:val="0"/>
              <w:rPr>
                <w:rFonts w:hint="default" w:ascii="仿宋_GB2312" w:hAnsi="Times New Roman" w:eastAsia="仿宋_GB2312" w:cs="Times New Roman"/>
                <w:b w:val="0"/>
                <w:bCs w:val="0"/>
                <w:sz w:val="28"/>
                <w:szCs w:val="28"/>
                <w:highlight w:val="none"/>
                <w:lang w:val="en-US" w:eastAsia="zh-CN"/>
              </w:rPr>
            </w:pPr>
            <w:r>
              <w:rPr>
                <w:rFonts w:hint="eastAsia" w:ascii="仿宋_GB2312" w:hAnsi="Times New Roman" w:eastAsia="仿宋_GB2312" w:cs="Times New Roman"/>
                <w:b w:val="0"/>
                <w:bCs w:val="0"/>
                <w:sz w:val="28"/>
                <w:szCs w:val="28"/>
                <w:highlight w:val="none"/>
                <w:lang w:val="en-US" w:eastAsia="zh-CN"/>
              </w:rPr>
              <w:t>2-3分</w:t>
            </w:r>
          </w:p>
        </w:tc>
      </w:tr>
      <w:tr w14:paraId="2143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40" w:type="dxa"/>
            <w:shd w:val="clear" w:color="auto" w:fill="auto"/>
          </w:tcPr>
          <w:p w14:paraId="059CEA2D">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hint="default" w:ascii="仿宋_GB2312" w:hAnsi="Times New Roman" w:eastAsia="仿宋_GB2312" w:cs="Times New Roman"/>
                <w:b w:val="0"/>
                <w:bCs w:val="0"/>
                <w:sz w:val="28"/>
                <w:szCs w:val="28"/>
                <w:highlight w:val="none"/>
                <w:lang w:val="en-US" w:eastAsia="zh-CN"/>
              </w:rPr>
              <w:t>D</w:t>
            </w:r>
            <w:r>
              <w:rPr>
                <w:rFonts w:ascii="仿宋_GB2312" w:hAnsi="Times New Roman" w:eastAsia="仿宋_GB2312" w:cs="Times New Roman"/>
                <w:b w:val="0"/>
                <w:bCs w:val="0"/>
                <w:sz w:val="28"/>
                <w:szCs w:val="28"/>
                <w:highlight w:val="none"/>
              </w:rPr>
              <w:t>档</w:t>
            </w:r>
          </w:p>
        </w:tc>
        <w:tc>
          <w:tcPr>
            <w:tcW w:w="5319" w:type="dxa"/>
          </w:tcPr>
          <w:p w14:paraId="5CBE90C0">
            <w:pPr>
              <w:pStyle w:val="2"/>
              <w:widowControl w:val="0"/>
              <w:snapToGrid w:val="0"/>
              <w:spacing w:before="0" w:beforeAutospacing="0" w:after="0" w:afterAutospacing="0"/>
              <w:jc w:val="both"/>
              <w:outlineLvl w:val="0"/>
              <w:rPr>
                <w:rFonts w:ascii="仿宋_GB2312" w:hAnsi="Times New Roman" w:eastAsia="仿宋_GB2312" w:cs="Times New Roman"/>
                <w:b w:val="0"/>
                <w:bCs w:val="0"/>
                <w:sz w:val="28"/>
                <w:szCs w:val="28"/>
                <w:highlight w:val="none"/>
              </w:rPr>
            </w:pPr>
            <w:r>
              <w:rPr>
                <w:rFonts w:ascii="仿宋_GB2312" w:hAnsi="Times New Roman" w:eastAsia="仿宋_GB2312" w:cs="Times New Roman"/>
                <w:b w:val="0"/>
                <w:bCs w:val="0"/>
                <w:sz w:val="28"/>
                <w:szCs w:val="28"/>
                <w:highlight w:val="none"/>
              </w:rPr>
              <w:t>四级</w:t>
            </w:r>
            <w:r>
              <w:rPr>
                <w:rFonts w:hint="eastAsia" w:ascii="仿宋_GB2312" w:hAnsi="Times New Roman" w:eastAsia="仿宋_GB2312" w:cs="Times New Roman"/>
                <w:b w:val="0"/>
                <w:bCs w:val="0"/>
                <w:sz w:val="28"/>
                <w:szCs w:val="28"/>
                <w:highlight w:val="none"/>
              </w:rPr>
              <w:t>425分以上</w:t>
            </w:r>
            <w:r>
              <w:rPr>
                <w:rFonts w:ascii="仿宋_GB2312" w:hAnsi="Times New Roman" w:eastAsia="仿宋_GB2312" w:cs="Times New Roman"/>
                <w:b w:val="0"/>
                <w:bCs w:val="0"/>
                <w:i w:val="0"/>
                <w:iCs w:val="0"/>
                <w:caps w:val="0"/>
                <w:color w:val="auto"/>
                <w:spacing w:val="0"/>
                <w:sz w:val="28"/>
                <w:szCs w:val="28"/>
                <w:highlight w:val="none"/>
                <w:shd w:val="clear" w:fill="auto"/>
              </w:rPr>
              <w:t>（未通过六级）</w:t>
            </w:r>
          </w:p>
        </w:tc>
        <w:tc>
          <w:tcPr>
            <w:tcW w:w="1281" w:type="dxa"/>
          </w:tcPr>
          <w:p w14:paraId="2BC4C87A">
            <w:pPr>
              <w:pStyle w:val="2"/>
              <w:widowControl w:val="0"/>
              <w:snapToGrid w:val="0"/>
              <w:spacing w:before="0" w:beforeAutospacing="0" w:after="0" w:afterAutospacing="0"/>
              <w:jc w:val="center"/>
              <w:outlineLvl w:val="0"/>
              <w:rPr>
                <w:rFonts w:ascii="仿宋_GB2312" w:hAnsi="Times New Roman" w:eastAsia="仿宋_GB2312" w:cs="Times New Roman"/>
                <w:b w:val="0"/>
                <w:bCs w:val="0"/>
                <w:sz w:val="28"/>
                <w:szCs w:val="28"/>
                <w:highlight w:val="none"/>
              </w:rPr>
            </w:pPr>
            <w:r>
              <w:rPr>
                <w:rFonts w:hint="eastAsia" w:ascii="仿宋_GB2312" w:hAnsi="Times New Roman" w:eastAsia="仿宋_GB2312" w:cs="Times New Roman"/>
                <w:b w:val="0"/>
                <w:bCs w:val="0"/>
                <w:sz w:val="28"/>
                <w:szCs w:val="28"/>
                <w:highlight w:val="none"/>
              </w:rPr>
              <w:t>1分</w:t>
            </w:r>
          </w:p>
        </w:tc>
      </w:tr>
    </w:tbl>
    <w:p w14:paraId="7F65B551">
      <w:pPr>
        <w:pStyle w:val="2"/>
        <w:shd w:val="clear" w:color="auto" w:fill="FFFFFF"/>
        <w:snapToGrid w:val="0"/>
        <w:spacing w:before="0" w:beforeAutospacing="0" w:after="0" w:afterAutospacing="0" w:line="360" w:lineRule="auto"/>
        <w:ind w:firstLine="640" w:firstLineChars="200"/>
        <w:rPr>
          <w:rFonts w:ascii="仿宋_GB2312" w:hAnsi="Times New Roman" w:eastAsia="仿宋_GB2312" w:cs="Times New Roman"/>
          <w:b w:val="0"/>
          <w:bCs w:val="0"/>
          <w:sz w:val="32"/>
          <w:szCs w:val="32"/>
          <w:highlight w:val="none"/>
        </w:rPr>
      </w:pPr>
      <w:r>
        <w:rPr>
          <w:rFonts w:hint="eastAsia" w:ascii="仿宋_GB2312" w:hAnsi="Times New Roman" w:eastAsia="仿宋_GB2312" w:cs="Times New Roman"/>
          <w:b w:val="0"/>
          <w:bCs w:val="0"/>
          <w:sz w:val="32"/>
          <w:szCs w:val="32"/>
          <w:highlight w:val="none"/>
        </w:rPr>
        <w:t>说明：主要考查考生在本科期间的外语能力水平。</w:t>
      </w:r>
    </w:p>
    <w:p w14:paraId="5E143723">
      <w:pPr>
        <w:pStyle w:val="2"/>
        <w:shd w:val="clear" w:color="auto" w:fill="FFFFFF"/>
        <w:snapToGrid w:val="0"/>
        <w:spacing w:before="0" w:beforeAutospacing="0" w:after="0" w:afterAutospacing="0"/>
        <w:ind w:firstLine="640" w:firstLineChars="200"/>
        <w:rPr>
          <w:rFonts w:ascii="仿宋_GB2312" w:hAnsi="Times New Roman" w:eastAsia="仿宋_GB2312" w:cs="Times New Roman"/>
          <w:b w:val="0"/>
          <w:bCs w:val="0"/>
          <w:sz w:val="32"/>
          <w:szCs w:val="32"/>
          <w:highlight w:val="none"/>
        </w:rPr>
      </w:pPr>
    </w:p>
    <w:p w14:paraId="5CC9EFCF">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3D195B"/>
    <w:rsid w:val="1F3D1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1"/>
      <w:szCs w:val="22"/>
      <w:lang w:val="en-US" w:eastAsia="zh-CN" w:bidi="ar-SA"/>
    </w:rPr>
  </w:style>
  <w:style w:type="paragraph" w:styleId="2">
    <w:name w:val="heading 1"/>
    <w:basedOn w:val="1"/>
    <w:qFormat/>
    <w:uiPriority w:val="9"/>
    <w:pPr>
      <w:spacing w:before="100" w:beforeAutospacing="1" w:after="100" w:afterAutospacing="1"/>
      <w:outlineLvl w:val="0"/>
    </w:pPr>
    <w:rPr>
      <w:rFonts w:ascii="宋体" w:hAnsi="宋体" w:eastAsia="宋体" w:cs="宋体"/>
      <w:b/>
      <w:bCs/>
      <w:kern w:val="36"/>
      <w:sz w:val="48"/>
      <w:szCs w:val="48"/>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2026-09-11T03:12:00Z</dcterms:created>
  <dc:creator>棒棒棒棒棒</dc:creator>
  <cp:lastModifiedBy>棒棒棒棒棒</cp:lastModifiedBy>
  <dcterms:modified xsi:type="dcterms:W3CDTF">2026-09-11T03:14:06Z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751CC3CBBC7E4B18B18913331F224307_11</vt:lpwstr>
  </property>
  <property fmtid="{D5CDD505-2E9C-101B-9397-08002B2CF9AE}" pid="4" name="KSOTemplateDocerSaveRecord">
    <vt:lpwstr>eyJoZGlkIjoiMmIyOGY4ZTVmNzkwYzIxMTFmNWVkNGZlODgxYzUwYTAiLCJ1c2VySWQiOiI0MTcyMzcwODYifQ==</vt:lpwstr>
  </property>
</Properties>
</file>