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4"/>
          <w:lang w:eastAsia="zh-CN"/>
          <w14:textFill>
            <w14:solidFill>
              <w14:schemeClr w14:val="tx1"/>
            </w14:solidFill>
          </w14:textFill>
        </w:rPr>
        <w:t>台州市国有资本运营集团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4"/>
          <w14:textFill>
            <w14:solidFill>
              <w14:schemeClr w14:val="tx1"/>
            </w14:solidFill>
          </w14:textFill>
        </w:rPr>
        <w:t>有限公司所属企业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4"/>
          <w:lang w:val="en-US" w:eastAsia="zh-CN"/>
          <w14:textFill>
            <w14:solidFill>
              <w14:schemeClr w14:val="tx1"/>
            </w14:solidFill>
          </w14:textFill>
        </w:rPr>
        <w:t>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台州市国发商贸有限公司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是台州资本集团全资子公司，成立于2016年11月10日，注册资本2亿元。公司承担集团商贸服务板块的业务经营与供应链管理职能，主要开展金属材料、金属制品、有色金属合金等经营活动，致力于构建互联互通的上下游网络，打造全方位的供应链服务体系。公司下辖2家全资子公司和1家控股子公司，业务涵盖铝、不锈钢、铜、塑料制品及咨询服务等领域，业务布局多元、协同发展。公司始终坚持务实高效的运营理念与清晰有效的发展战略，持续提升经营能力与本土影响力，积极践行国企责任，稳步推动企业高质量发展。</w:t>
      </w:r>
    </w:p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7332B"/>
    <w:rsid w:val="420A32BA"/>
    <w:rsid w:val="6367332B"/>
    <w:rsid w:val="67135D62"/>
    <w:rsid w:val="6DF5C072"/>
    <w:rsid w:val="74743C3E"/>
    <w:rsid w:val="7DA55A2C"/>
    <w:rsid w:val="7F3C2F5C"/>
    <w:rsid w:val="7FAD43E4"/>
    <w:rsid w:val="EBFB62E0"/>
    <w:rsid w:val="FBFFE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0"/>
      <w:szCs w:val="36"/>
      <w:lang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qFormat/>
    <w:uiPriority w:val="0"/>
    <w:rPr>
      <w:rFonts w:hint="eastAsia" w:ascii="宋体" w:hAnsi="宋体" w:eastAsia="宋体" w:cs="宋体"/>
      <w:b/>
      <w:bCs/>
      <w:kern w:val="0"/>
      <w:sz w:val="30"/>
      <w:szCs w:val="36"/>
      <w:lang w:val="en-US" w:eastAsia="zh-CN" w:bidi="ar"/>
    </w:rPr>
  </w:style>
  <w:style w:type="paragraph" w:customStyle="1" w:styleId="6">
    <w:name w:val="样式2"/>
    <w:basedOn w:val="1"/>
    <w:next w:val="1"/>
    <w:qFormat/>
    <w:uiPriority w:val="0"/>
    <w:pPr>
      <w:keepNext/>
      <w:keepLines/>
      <w:spacing w:beforeLines="0" w:afterLines="0" w:line="240" w:lineRule="auto"/>
      <w:outlineLvl w:val="3"/>
    </w:pPr>
    <w:rPr>
      <w:rFonts w:ascii="Arial" w:hAnsi="Arial" w:eastAsia="黑体"/>
      <w:b/>
      <w:sz w:val="28"/>
    </w:rPr>
  </w:style>
  <w:style w:type="paragraph" w:customStyle="1" w:styleId="7">
    <w:name w:val="样式A一级"/>
    <w:basedOn w:val="1"/>
    <w:next w:val="1"/>
    <w:qFormat/>
    <w:uiPriority w:val="0"/>
    <w:pPr>
      <w:keepNext/>
      <w:keepLines/>
      <w:spacing w:beforeLines="0" w:afterLines="0" w:line="560" w:lineRule="exact"/>
      <w:outlineLvl w:val="0"/>
    </w:pPr>
    <w:rPr>
      <w:rFonts w:hint="default" w:eastAsia="方正小标宋简体" w:asciiTheme="minorAscii" w:hAnsiTheme="minorAscii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2026-04-10T10:57:00Z</dcterms:created>
  <dc:creator>安蕾</dc:creator>
  <cp:lastModifiedBy> </cp:lastModifiedBy>
  <dcterms:modified xsi:type="dcterms:W3CDTF">2026-09-20T10:39:29Z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2052-11.8.2.12012</vt:lpwstr>
  </property>
  <property fmtid="{D5CDD505-2E9C-101B-9397-08002B2CF9AE}" pid="3" name="ICV">
    <vt:lpwstr>CAFE9F9FFDC543F286C69DEDA95B3555_11</vt:lpwstr>
  </property>
  <property fmtid="{D5CDD505-2E9C-101B-9397-08002B2CF9AE}" pid="4" name="KSOTemplateDocerSaveRecord">
    <vt:lpwstr>eyJoZGlkIjoiZDFkNWNmMzdmMGI0NWIyNTlkOWZhYTQ3YmQ1NzNmZWQiLCJ1c2VySWQiOiIxNDgxMjE0MjU4In0=</vt:lpwstr>
  </property>
</Properties>
</file>