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rFonts w:hint="eastAsia" w:ascii="黑体" w:hAnsi="黑体" w:eastAsia="黑体" w:cs="黑体"/>
          <w:color w:val="000000" w:themeColor="text1"/>
          <w:sz w:val="32"/>
          <w:szCs w:val="32"/>
          <w:lang w:val="en-US" w:eastAsia="zh-CN"/>
          <w14:textFill>
            <w14:solidFill>
              <w14:schemeClr w14:val="tx1"/>
            </w14:solidFill>
          </w14:textFill>
        </w:rPr>
      </w:pPr>
      <w:r>
        <w:rPr>
          <w:rFonts w:hint="eastAsia" w:ascii="黑体" w:hAnsi="黑体" w:eastAsia="黑体" w:cs="黑体"/>
          <w:color w:val="000000" w:themeColor="text1"/>
          <w:sz w:val="32"/>
          <w:szCs w:val="32"/>
          <w:lang w:val="en-US" w:eastAsia="zh-CN"/>
          <w14:textFill>
            <w14:solidFill>
              <w14:schemeClr w14:val="tx1"/>
            </w14:solidFill>
          </w14:textFill>
        </w:rPr>
        <w:t>附件1</w:t>
      </w:r>
    </w:p>
    <w:p>
      <w:pPr>
        <w:jc w:val="center"/>
        <w:rPr>
          <w:rFonts w:hint="eastAsia" w:ascii="方正小标宋简体" w:hAnsi="方正小标宋简体" w:eastAsia="方正小标宋简体" w:cs="方正小标宋简体"/>
          <w:color w:val="000000" w:themeColor="text1"/>
          <w:sz w:val="36"/>
          <w:szCs w:val="40"/>
          <w:lang w:val="en-US" w:eastAsia="zh-CN"/>
          <w14:textFill>
            <w14:solidFill>
              <w14:schemeClr w14:val="tx1"/>
            </w14:solidFill>
          </w14:textFill>
        </w:rPr>
      </w:pPr>
      <w:r>
        <w:rPr>
          <w:rFonts w:hint="eastAsia" w:ascii="方正小标宋简体" w:hAnsi="方正小标宋简体" w:eastAsia="方正小标宋简体" w:cs="方正小标宋简体"/>
          <w:color w:val="000000" w:themeColor="text1"/>
          <w:sz w:val="36"/>
          <w:szCs w:val="40"/>
          <w:lang w:eastAsia="zh-CN"/>
          <w14:textFill>
            <w14:solidFill>
              <w14:schemeClr w14:val="tx1"/>
            </w14:solidFill>
          </w14:textFill>
        </w:rPr>
        <w:t>台州市城市建设投资发展集团</w:t>
      </w:r>
      <w:r>
        <w:rPr>
          <w:rFonts w:hint="eastAsia" w:ascii="方正小标宋简体" w:hAnsi="方正小标宋简体" w:eastAsia="方正小标宋简体" w:cs="方正小标宋简体"/>
          <w:color w:val="000000" w:themeColor="text1"/>
          <w:sz w:val="36"/>
          <w:szCs w:val="40"/>
          <w14:textFill>
            <w14:solidFill>
              <w14:schemeClr w14:val="tx1"/>
            </w14:solidFill>
          </w14:textFill>
        </w:rPr>
        <w:t>有限公司所属企业</w:t>
      </w:r>
      <w:r>
        <w:rPr>
          <w:rFonts w:hint="eastAsia" w:ascii="方正小标宋简体" w:hAnsi="方正小标宋简体" w:eastAsia="方正小标宋简体" w:cs="方正小标宋简体"/>
          <w:color w:val="000000" w:themeColor="text1"/>
          <w:sz w:val="36"/>
          <w:szCs w:val="40"/>
          <w:lang w:val="en-US" w:eastAsia="zh-CN"/>
          <w14:textFill>
            <w14:solidFill>
              <w14:schemeClr w14:val="tx1"/>
            </w14:solidFill>
          </w14:textFill>
        </w:rPr>
        <w:t>简介</w:t>
      </w:r>
    </w:p>
    <w:p>
      <w:pPr>
        <w:jc w:val="center"/>
        <w:rPr>
          <w:rFonts w:hint="eastAsia" w:ascii="方正小标宋简体" w:hAnsi="方正小标宋简体" w:eastAsia="方正小标宋简体" w:cs="方正小标宋简体"/>
          <w:color w:val="000000" w:themeColor="text1"/>
          <w:sz w:val="36"/>
          <w:szCs w:val="40"/>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台州市数字集团有限公司是经台州市委市政府批准，于2020年10月15日成立，注册资金1亿元，并于2024年9月26日正式完成集团化重组。公司锚定台州市数字产业链主型企业的核心目标，立足“人工智能基础设施的供给者、数据要素价值化的运营者、数字安全可信的护航者、数字经济产业生态的构建者”四大定位，重点布局人工智能基础设施、数据要素运营、“AI+”场景应用、数字安全可信等核心领域，全力助推台州市“人工智能+”建设，赋能传统产业数智化升级。</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台州市城投科技发展有限公司是台州城投集团的全资子公司，紧紧围绕“打造优秀的产业空间提供者、专业运营者”这一发展定位不动摇，主要从事科技产业园区投资开发、项目招引、孵化培育、成长加速、股权投资、产业化落地等业务。项目主要包括台州数字科技园（台州首个M0用地项目）、台州创新园、青年公寓、台州科技城综合区、台州国际创新中心（杭州）、雷格斯台州腾达中心、雷格斯杭州衍印中心等。公司聚焦科技产业，形成产业生态，打造“房东+股东”、“园区+基金”、“生态+服务”的商业模式，做大做强台州城投集团科技板块。</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台州市数字集团有限公司是经台州市委市政府批准，于2020年10月15日成立，注册资金1亿元，并于2024年9月26日正式完成集团化重组。公司锚定台州市数字产业链主型企业的核心目标，立足“人工智能基础设施的供给者、数据要素价值化的运营者、数字安全可信的护航者、数字经济产业生态的构建者”四大定位，重点布局人工智能基础设施、数据要素运营、“AI+”场景应用、数字安全可信等核心领域，全力助推台州市“人工智能+”建设，赋能传统产业数智化升级。</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台州城投工程管理有限公司是台州市城市建设投资发展集团有限公司的全资子公司，成立于2018年1月25日，</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注册资本500万元。作为集团工程管理的专业服务平台，公</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司以服务城市建设为目标，立足城市基础设施建设主业，依</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托集团资源优势，主要承担市政府重大工程、民生工程以及</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集团委托建设的工程项目建设管理，负责集团工程技术人员</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的人力资源服务工作，并积极参与市场化转型，拓展承接市</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场化项目代建业务、安全咨询服务。公司按照规范化、市场</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化经营模式，维护集团和企业的合法权益，创造良好的社会</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和经济效益，全面提升工程管理综合能力，努力打造成一流</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的工程项目管理公司。</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目前代建的台州市一江两岸协同发展示范区暨创新创</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业智汇谷项目（市政配套设施建设工程），系台州市首条过</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江隧道。该项目建成后，将进一步方便市民通勤，同时加强</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椒江南北两岸联动，促进一江两岸发展，加快推进跨江融合，</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提升城区整体品质。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台州国际博览中心有限公司成立于2019年3月12日，注册资本15.5亿元，总投资概算约51.67亿元，是一家集展馆运营、展览服务、会议、酒店、商业为一体的专业会展服务公司，也是“UFI认证展会”中国塑料交易会的专业运营商。台州国际博览中心项目位于浙江省台州市椒江商贸核心区，紧邻台州银泰城和心海绿廊，总占地面积约320亩，总建筑面积约42.2万㎡，于2021年9月开工建设，是集展览、会议、办公、酒店、商业等功能为一体的大型会展中心，被列入省重大产业龙头项目、省大都市区建设标志性工程项目。 项目包含两栋149.95米的超高层建筑和10.5万平方米的展馆，共设有7个展厅，3084个标准展位。2022年8月份引进万豪作为酒管公司，入驻品牌分别为福朋喜来登（四星级）、威斯汀（五星级）。2024年9月11日设立全资子公司——浙江台博会展有限公司，负责场馆的整体运营。项目一期主场馆（2-7号展厅）已完成联合验收，并于2024年9月19日投入使用并顺利举办首展，是浙东南地区规模最大的专业会展场馆。</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00007A87" w:usb1="80000000" w:usb2="00000008"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仿宋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367332B"/>
    <w:rsid w:val="420A32BA"/>
    <w:rsid w:val="467932C4"/>
    <w:rsid w:val="5FF059F5"/>
    <w:rsid w:val="6367332B"/>
    <w:rsid w:val="67135D62"/>
    <w:rsid w:val="74743C3E"/>
    <w:rsid w:val="DBFAF5BC"/>
    <w:rsid w:val="F9EB82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6"/>
    <w:semiHidden/>
    <w:unhideWhenUsed/>
    <w:qFormat/>
    <w:uiPriority w:val="0"/>
    <w:pPr>
      <w:spacing w:before="0" w:beforeAutospacing="1" w:after="0" w:afterAutospacing="1"/>
      <w:jc w:val="left"/>
      <w:outlineLvl w:val="1"/>
    </w:pPr>
    <w:rPr>
      <w:rFonts w:hint="eastAsia" w:ascii="宋体" w:hAnsi="宋体" w:eastAsia="宋体" w:cs="宋体"/>
      <w:b/>
      <w:bCs/>
      <w:kern w:val="0"/>
      <w:sz w:val="30"/>
      <w:szCs w:val="36"/>
      <w:lang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character" w:customStyle="1" w:styleId="6">
    <w:name w:val="标题 2 Char"/>
    <w:link w:val="3"/>
    <w:qFormat/>
    <w:uiPriority w:val="0"/>
    <w:rPr>
      <w:rFonts w:hint="eastAsia" w:ascii="宋体" w:hAnsi="宋体" w:eastAsia="宋体" w:cs="宋体"/>
      <w:b/>
      <w:bCs/>
      <w:kern w:val="0"/>
      <w:sz w:val="30"/>
      <w:szCs w:val="36"/>
      <w:lang w:val="en-US" w:eastAsia="zh-CN" w:bidi="ar"/>
    </w:rPr>
  </w:style>
  <w:style w:type="paragraph" w:customStyle="1" w:styleId="7">
    <w:name w:val="样式2"/>
    <w:basedOn w:val="1"/>
    <w:next w:val="1"/>
    <w:qFormat/>
    <w:uiPriority w:val="0"/>
    <w:pPr>
      <w:keepNext/>
      <w:keepLines/>
      <w:spacing w:beforeLines="0" w:afterLines="0" w:line="240" w:lineRule="auto"/>
      <w:outlineLvl w:val="3"/>
    </w:pPr>
    <w:rPr>
      <w:rFonts w:ascii="Arial" w:hAnsi="Arial" w:eastAsia="黑体"/>
      <w:b/>
      <w:sz w:val="28"/>
    </w:rPr>
  </w:style>
  <w:style w:type="paragraph" w:customStyle="1" w:styleId="8">
    <w:name w:val="样式A一级"/>
    <w:basedOn w:val="1"/>
    <w:next w:val="1"/>
    <w:qFormat/>
    <w:uiPriority w:val="0"/>
    <w:pPr>
      <w:keepNext/>
      <w:keepLines/>
      <w:spacing w:beforeLines="0" w:afterLines="0" w:line="560" w:lineRule="exact"/>
      <w:outlineLvl w:val="0"/>
    </w:pPr>
    <w:rPr>
      <w:rFonts w:hint="default" w:eastAsia="方正小标宋简体" w:asciiTheme="minorAscii" w:hAnsiTheme="minorAscii"/>
      <w:kern w:val="44"/>
      <w:sz w:val="4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1</TotalTime>
  <ScaleCrop>false</ScaleCrop>
  <LinksUpToDate>false</LinksUpToDate>
  <CharactersWithSpaces>0</CharactersWithSpaces>
  <Application>WPS Office_12.8.2.1113_F1E327BC-269C-435d-A152-05C5408002CA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2026-04-11T10:57:00Z</dcterms:created>
  <dc:creator>安蕾</dc:creator>
  <cp:lastModifiedBy>组织人事部</cp:lastModifiedBy>
  <dcterms:modified xsi:type="dcterms:W3CDTF">2026-09-20T17:14:41Z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2052-12.8.2.1113</vt:lpwstr>
  </property>
  <property fmtid="{D5CDD505-2E9C-101B-9397-08002B2CF9AE}" pid="3" name="ICV">
    <vt:lpwstr>CAFE9F9FFDC543F286C69DEDA95B3555_11</vt:lpwstr>
  </property>
  <property fmtid="{D5CDD505-2E9C-101B-9397-08002B2CF9AE}" pid="4" name="KSOTemplateDocerSaveRecord">
    <vt:lpwstr>eyJoZGlkIjoiZDFkNWNmMzdmMGI0NWIyNTlkOWZhYTQ3YmQ1NzNmZWQiLCJ1c2VySWQiOiIxNDgxMjE0MjU4In0=</vt:lpwstr>
  </property>
</Properties>
</file>